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EFDE" w14:textId="77777777" w:rsidR="004A05F2" w:rsidRDefault="004A05F2" w:rsidP="004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történeti alkotmány – az alkotmányosság története</w:t>
      </w:r>
    </w:p>
    <w:p w14:paraId="0BD9CB47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81C0A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87CC7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Kurzusfelelős: Mezey Barna</w:t>
      </w:r>
    </w:p>
    <w:p w14:paraId="2A17D3A2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B2B5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időpontja: 2020/2021 tavaszi szemeszter, csütörtök 18.00-19.30</w:t>
      </w:r>
    </w:p>
    <w:p w14:paraId="07BAC730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8329D" w14:textId="77777777" w:rsidR="004A05F2" w:rsidRDefault="004A05F2" w:rsidP="004A0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</w:t>
      </w:r>
    </w:p>
    <w:p w14:paraId="553A7106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ED1AA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1.Történeti alkotmány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kartális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alkotmány</w:t>
      </w:r>
      <w:r>
        <w:rPr>
          <w:rFonts w:ascii="Times New Roman" w:hAnsi="Times New Roman" w:cs="Times New Roman"/>
          <w:sz w:val="24"/>
          <w:szCs w:val="24"/>
        </w:rPr>
        <w:t xml:space="preserve"> (MEZEY Barna egyetemi tanár)</w:t>
      </w:r>
    </w:p>
    <w:p w14:paraId="598E4278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február 18.</w:t>
      </w:r>
    </w:p>
    <w:p w14:paraId="4198DC05" w14:textId="77777777" w:rsidR="004A05F2" w:rsidRDefault="004A05F2" w:rsidP="004A05F2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kartális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alkotmány fogalmának megjelenése, összefüggései a történeti alkotmány meghatározásával</w:t>
      </w:r>
    </w:p>
    <w:p w14:paraId="203D9146" w14:textId="77777777" w:rsidR="004A05F2" w:rsidRDefault="004A05F2" w:rsidP="004A05F2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történeti alkotmány alkotóelemei</w:t>
      </w:r>
    </w:p>
    <w:p w14:paraId="74FADBA8" w14:textId="77777777" w:rsidR="004A05F2" w:rsidRDefault="004A05F2" w:rsidP="004A05F2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történeti alkotmány forrásai: szokásjog, alkotmányos eljárások és gyakorlatok, a dekrétumok szerepének jelentősége</w:t>
      </w:r>
    </w:p>
    <w:p w14:paraId="56C9A2D5" w14:textId="77777777" w:rsidR="004A05F2" w:rsidRDefault="004A05F2" w:rsidP="004A05F2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Aranybulla, a Hármaskönyv és az 1790. évi törvények</w:t>
      </w:r>
    </w:p>
    <w:p w14:paraId="1078A750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76B0B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Irodalom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Egyed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Ákos: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mi alkotmányunk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Budapest, 1943.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Eckhart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Ferenc: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Magyar alkotmányfejlődés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Budapest, 1931.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Kukorelli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István: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Tradíció és modernizáció a magyar alkotmányjogban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Budapest, 2006.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Schweitzer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Gábor –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Kajtár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István (szerk.):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Alkotmányfejlődésünk útjai. Válogatás Molnár Kálmán hátrahagyott írásaibó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Pécs, 2011.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Téglási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András (szerk.):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Történelmi tradíciók és az új alkotmány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Budapest, 2011.</w:t>
      </w:r>
    </w:p>
    <w:p w14:paraId="3A929409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5EDAB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B8F24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Történeti alkotmány - történelmi alkotmány</w:t>
      </w:r>
      <w:r>
        <w:rPr>
          <w:rFonts w:ascii="Times New Roman" w:hAnsi="Times New Roman" w:cs="Times New Roman"/>
          <w:sz w:val="24"/>
          <w:szCs w:val="24"/>
        </w:rPr>
        <w:t xml:space="preserve"> (STIPTA István egyetemi tanár)</w:t>
      </w:r>
    </w:p>
    <w:p w14:paraId="1B6F1FA3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február 25.</w:t>
      </w:r>
    </w:p>
    <w:p w14:paraId="111D759A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Fogalmi keretek: történelmi és/vagy történeti alkotmány</w:t>
      </w:r>
    </w:p>
    <w:p w14:paraId="32355011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Jogtudományi álláspontok a történelmi alkotmány tartalmáról</w:t>
      </w:r>
    </w:p>
    <w:p w14:paraId="424D5BB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Reformkori narratívák az ősi alkotmány megváltoztatásáról</w:t>
      </w:r>
    </w:p>
    <w:p w14:paraId="2CC45685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1848 és a történelmi alkotmány </w:t>
      </w:r>
    </w:p>
    <w:p w14:paraId="0337FA65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A jogi modernizáció 1867 után: hagyomány, vagy modellkövetés?</w:t>
      </w:r>
    </w:p>
    <w:p w14:paraId="158DB283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A jogállamiság és a történelmi alkotmány</w:t>
      </w:r>
    </w:p>
    <w:p w14:paraId="7805F972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F818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Irodalom: </w:t>
      </w:r>
      <w:r>
        <w:rPr>
          <w:rFonts w:ascii="Times New Roman" w:hAnsi="Times New Roman" w:cs="Times New Roman"/>
          <w:smallCaps/>
          <w:sz w:val="24"/>
          <w:szCs w:val="24"/>
        </w:rPr>
        <w:t>Deák</w:t>
      </w:r>
      <w:r>
        <w:rPr>
          <w:rFonts w:ascii="Times New Roman" w:hAnsi="Times New Roman" w:cs="Times New Roman"/>
          <w:sz w:val="24"/>
          <w:szCs w:val="24"/>
        </w:rPr>
        <w:t xml:space="preserve"> Ferenc: Adalék a magyar közjoghoz. Észrevételek </w:t>
      </w:r>
      <w:proofErr w:type="spellStart"/>
      <w:r>
        <w:rPr>
          <w:rFonts w:ascii="Times New Roman" w:hAnsi="Times New Roman" w:cs="Times New Roman"/>
          <w:sz w:val="24"/>
          <w:szCs w:val="24"/>
        </w:rPr>
        <w:t>Lustkand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Venczel munkájára: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Ungarisch-Österreischte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Staatschrecht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 magyar közjog történelmének szempontjából. Pest, 1865.; </w:t>
      </w:r>
      <w:r>
        <w:rPr>
          <w:rFonts w:ascii="Times New Roman" w:hAnsi="Times New Roman" w:cs="Times New Roman"/>
          <w:smallCaps/>
          <w:sz w:val="24"/>
          <w:szCs w:val="24"/>
        </w:rPr>
        <w:t>Bónis</w:t>
      </w:r>
      <w:r>
        <w:rPr>
          <w:rFonts w:ascii="Times New Roman" w:hAnsi="Times New Roman" w:cs="Times New Roman"/>
          <w:sz w:val="24"/>
          <w:szCs w:val="24"/>
        </w:rPr>
        <w:t xml:space="preserve"> György: A történeti alkotmány. Hitel. 1944. 6. sz. 333-346. p.;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Ruszoly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József: Az alkotmányozás történetisége, 1989.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Tanulmányok Veres József 80. születésnapja tiszteletére. Szeged, 2009. 667-680. p.; </w:t>
      </w:r>
      <w:r>
        <w:rPr>
          <w:rFonts w:ascii="Times New Roman" w:hAnsi="Times New Roman" w:cs="Times New Roman"/>
          <w:smallCaps/>
          <w:sz w:val="24"/>
          <w:szCs w:val="24"/>
        </w:rPr>
        <w:t>Kukorelli</w:t>
      </w:r>
      <w:r>
        <w:rPr>
          <w:rFonts w:ascii="Times New Roman" w:hAnsi="Times New Roman" w:cs="Times New Roman"/>
          <w:sz w:val="24"/>
          <w:szCs w:val="24"/>
        </w:rPr>
        <w:t xml:space="preserve"> István: Tradíció és modernizáció a magyar alkotmányjogban.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Tradíció és modernizáció a magyar alkotmányjogban. Századvég Kiadó. Budapest, 2006. 17. p.; </w:t>
      </w:r>
      <w:r>
        <w:rPr>
          <w:rFonts w:ascii="Times New Roman" w:hAnsi="Times New Roman" w:cs="Times New Roman"/>
          <w:smallCaps/>
          <w:sz w:val="24"/>
          <w:szCs w:val="24"/>
        </w:rPr>
        <w:t>Schweitzer</w:t>
      </w:r>
      <w:r>
        <w:rPr>
          <w:rFonts w:ascii="Times New Roman" w:hAnsi="Times New Roman" w:cs="Times New Roman"/>
          <w:sz w:val="24"/>
          <w:szCs w:val="24"/>
        </w:rPr>
        <w:t xml:space="preserve"> Gábor: Alaptörvény - sarkalatos törvény - történeti alkotmány. In: Il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semblait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j'étais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moi-même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l'ouvrage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Patrocinium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Budapest, 2012. 258-265. p.; Gróf </w:t>
      </w:r>
      <w:r>
        <w:rPr>
          <w:rFonts w:ascii="Times New Roman" w:hAnsi="Times New Roman" w:cs="Times New Roman"/>
          <w:smallCaps/>
          <w:sz w:val="24"/>
          <w:szCs w:val="24"/>
        </w:rPr>
        <w:t>Apponyi</w:t>
      </w:r>
      <w:r>
        <w:rPr>
          <w:rFonts w:ascii="Times New Roman" w:hAnsi="Times New Roman" w:cs="Times New Roman"/>
          <w:sz w:val="24"/>
          <w:szCs w:val="24"/>
        </w:rPr>
        <w:t xml:space="preserve"> Albert: Magyar közjog osztrák megvilágításban. Franklin-Társulat. Budapest, 1912.; </w:t>
      </w:r>
      <w:r>
        <w:rPr>
          <w:rFonts w:ascii="Times New Roman" w:hAnsi="Times New Roman" w:cs="Times New Roman"/>
          <w:smallCaps/>
          <w:sz w:val="24"/>
          <w:szCs w:val="24"/>
        </w:rPr>
        <w:t>Csillag</w:t>
      </w:r>
      <w:r>
        <w:rPr>
          <w:rFonts w:ascii="Times New Roman" w:hAnsi="Times New Roman" w:cs="Times New Roman"/>
          <w:sz w:val="24"/>
          <w:szCs w:val="24"/>
        </w:rPr>
        <w:t xml:space="preserve"> Gyula: A régi magyar alkotmány és az 1848-i és 1867.-i évek közjogi alkotásai. Pest, 1871.;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Stipta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István: A magyar történelmi alkotmány és a hazai közjogi-közigazgatási jogvédelem. Jogtörténeti Értekezések 44. Gondolat Kiadó, Budapest, 2020.; </w:t>
      </w:r>
      <w:r>
        <w:rPr>
          <w:rFonts w:ascii="Times New Roman" w:hAnsi="Times New Roman" w:cs="Times New Roman"/>
          <w:smallCaps/>
          <w:sz w:val="24"/>
          <w:szCs w:val="24"/>
        </w:rPr>
        <w:t>Szalma</w:t>
      </w:r>
      <w:r>
        <w:rPr>
          <w:rFonts w:ascii="Times New Roman" w:hAnsi="Times New Roman" w:cs="Times New Roman"/>
          <w:sz w:val="24"/>
          <w:szCs w:val="24"/>
        </w:rPr>
        <w:t xml:space="preserve"> József: A „sarkalatos” törvényekről a magyar jogfejlődésben. Jogtudományi Közlöny, 2002. 9. sz.</w:t>
      </w:r>
    </w:p>
    <w:p w14:paraId="5759D0DE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EBBE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56885">
        <w:rPr>
          <w:rFonts w:ascii="Times New Roman" w:hAnsi="Times New Roman" w:cs="Times New Roman"/>
          <w:sz w:val="28"/>
          <w:szCs w:val="28"/>
        </w:rPr>
        <w:t>A történelmi alkotmány az alkotmányjogász szemével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(POZSÁR-SZENTMIKLÓSY Zoltán habil. egyetemi docens)</w:t>
      </w:r>
    </w:p>
    <w:p w14:paraId="696B4BE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március 4.</w:t>
      </w:r>
    </w:p>
    <w:p w14:paraId="544CE072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B605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▪ Az Alaptörvény és a történeti alkotmány kapcsolódási pontjai</w:t>
      </w:r>
    </w:p>
    <w:p w14:paraId="7ABBA4C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▪ A történeti alkotmány és az alkotmányértelmezés</w:t>
      </w:r>
    </w:p>
    <w:p w14:paraId="0BAE12F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▪ A történeti alkotmány és az alkotmányos identitás</w:t>
      </w:r>
    </w:p>
    <w:p w14:paraId="301AFE2D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▪ A történeti alkotmány alkotmányossága</w:t>
      </w:r>
    </w:p>
    <w:p w14:paraId="1695D9C5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010B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Irodalom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Vörös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Imre: A történeti alkotmány az Alkotmánybíróság gyakorlatában.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Közjogi Szemle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2016/4.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Sólyom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László: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Normahierarcha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alkotmányban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Közjogi Szemle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2014/1.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Csink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Lóránt –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Fröhlich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Johanna: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-elv. Az alkotmány identitása, stabilitása és változtathatósága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Iustum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Aequum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Salutare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2016/4.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Szente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Zoltán: Az Alaptörvény és az alkotmányos változások szakmai és tudományos reflexiói 2010 után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Fundamentum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2015/2-3.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Pozsár-Szentmiklósy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Zoltán: Milyen az alkotmányos kultúránk?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Magyar Jog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2015/9.</w:t>
      </w:r>
    </w:p>
    <w:p w14:paraId="021F0904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9692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2611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A történeti alkotmány az Alkotmánybíróság gyakorlatában </w:t>
      </w:r>
      <w:r>
        <w:rPr>
          <w:rFonts w:ascii="Times New Roman" w:hAnsi="Times New Roman" w:cs="Times New Roman"/>
          <w:sz w:val="24"/>
          <w:szCs w:val="24"/>
        </w:rPr>
        <w:t>(HORVÁTH Attila)</w:t>
      </w:r>
    </w:p>
    <w:p w14:paraId="5A54930A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március 11.</w:t>
      </w:r>
    </w:p>
    <w:p w14:paraId="7999C9F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C335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▪ A történeti alkotmány vívmányai</w:t>
      </w:r>
    </w:p>
    <w:p w14:paraId="7EDB8910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Az Alkotmánybíróság vállalása a történeti alkotmány vonatkozásában.</w:t>
      </w:r>
    </w:p>
    <w:p w14:paraId="47262F96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A történeti alkotmány és a szuverenitás kérdése</w:t>
      </w:r>
    </w:p>
    <w:p w14:paraId="1EFC623D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Az Alkotmánybíróság egyes határozatainak az elemzése</w:t>
      </w:r>
    </w:p>
    <w:p w14:paraId="53518258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24F0B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Irodalom: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Horváth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„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Nem ismerjük el az 1949. évi kommunista alkotmányt, mert egy zsarnoki uralom alapja volt, ezért kinyilvánítjuk érvénytelenségét.”</w:t>
        </w:r>
      </w:hyperlink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 xml:space="preserve">, </w:t>
      </w:r>
      <w:proofErr w:type="spellStart"/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>Uő</w:t>
      </w:r>
      <w:proofErr w:type="spellEnd"/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 xml:space="preserve">: 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„Tiszteletben tartjuk történeti alkotmányunk vívmányait és a Szent Koronát, amely megtestesíti Magyarország alkotmányos állami folytonosságát és a nemzet egységét.”</w:t>
        </w:r>
      </w:hyperlink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>Uő</w:t>
      </w:r>
      <w:proofErr w:type="spellEnd"/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 xml:space="preserve">: </w:t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„Büszkék vagyunk arra, hogy Szent István királyunk ezer évvel ezelőtt szilárd alapokra helyezte a magyar államot, és hazánkat a keresztény Európa részévé tette.”</w:t>
        </w:r>
      </w:hyperlink>
      <w:r>
        <w:rPr>
          <w:rStyle w:val="Hyperlink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Patyi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Rendhagyó kommentár egy rendhagyó preambulumról. Magyarország Alaptörvénye. Nemzeti hitvallás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2019. </w:t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smallCaps/>
            <w:color w:val="auto"/>
            <w:sz w:val="24"/>
            <w:szCs w:val="24"/>
            <w:u w:val="none"/>
            <w:lang w:eastAsia="hu-HU"/>
          </w:rPr>
          <w:t>Horváth Attila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A parlamentarizmus és a házszabályok megalkotásának kezdeti története Magyarországon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Dukán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–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Varga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Aida (szerk.):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Parlamenti jog. Az Országgyűlés működése, feladat- és hatáskörei, kapcsolódó intézmények.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2018. </w:t>
      </w: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smallCaps/>
            <w:color w:val="auto"/>
            <w:sz w:val="24"/>
            <w:szCs w:val="24"/>
            <w:u w:val="none"/>
            <w:lang w:eastAsia="hu-HU"/>
          </w:rPr>
          <w:t>Horváth Attila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Házszabálytörténet (a rendszerváltásig)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Módos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házszabályon túl. Előadások a parlamenti jog aktuális kérdéseiről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I. kötet. Budapest, 2018. </w:t>
      </w: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  <w:smallCaps/>
            <w:color w:val="auto"/>
            <w:sz w:val="24"/>
            <w:szCs w:val="24"/>
            <w:u w:val="none"/>
            <w:lang w:eastAsia="hu-HU"/>
          </w:rPr>
          <w:t>Horváth Attila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A nemesi vármegye. Az alkotmányosság védőbástyája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Rubicon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2018. 3–4. sz. </w:t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smallCaps/>
            <w:color w:val="auto"/>
            <w:sz w:val="24"/>
            <w:szCs w:val="24"/>
            <w:u w:val="none"/>
            <w:lang w:eastAsia="hu-HU"/>
          </w:rPr>
          <w:t>Horváth Attila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hu-HU"/>
          </w:rPr>
          <w:t>A szocialista állam- és jogtudomány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Jakab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–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Menyhárd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jog tudománya. Tudománytörténeti és tudományelméleti írások, gyakorlati tanácsokkal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Budapest, 2015.</w:t>
      </w:r>
    </w:p>
    <w:p w14:paraId="689F5A78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A900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450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Hatalmi ágak a történeti alkotmány rendszerében. A törvényhozás</w:t>
      </w:r>
      <w:r>
        <w:rPr>
          <w:rFonts w:ascii="Times New Roman" w:hAnsi="Times New Roman" w:cs="Times New Roman"/>
          <w:sz w:val="24"/>
          <w:szCs w:val="24"/>
        </w:rPr>
        <w:t xml:space="preserve"> (MEZEY Barna egyetemi tanár)</w:t>
      </w:r>
    </w:p>
    <w:p w14:paraId="0014250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március 18.</w:t>
      </w:r>
    </w:p>
    <w:p w14:paraId="1FDDF3AF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4E81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rendi hatalommegosztás</w:t>
      </w:r>
    </w:p>
    <w:p w14:paraId="72026860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felvilágosodás hatása a hatalmi ágak polgári értelmezése, a montesquieu-i modell a magyar történeti alkotmányban</w:t>
      </w:r>
    </w:p>
    <w:p w14:paraId="616B2FF2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törvényhozás helye a rendi hatalmi struktúrákban</w:t>
      </w:r>
    </w:p>
    <w:p w14:paraId="681B478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törvényhozás hangsúlyváltozása a 19. század első harmadában</w:t>
      </w:r>
    </w:p>
    <w:p w14:paraId="79940678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népszuverenitás, népképviselet, törvényhozás</w:t>
      </w:r>
    </w:p>
    <w:p w14:paraId="3EC9102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törvényhozás és a végrehajtó hatalom viszonya</w:t>
      </w:r>
    </w:p>
    <w:p w14:paraId="427E3516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törvényhozás és a bírói hatalom viszonya</w:t>
      </w:r>
    </w:p>
    <w:p w14:paraId="7EC7634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4239B121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Irodalom: Szijártó M. </w:t>
      </w:r>
      <w:r>
        <w:rPr>
          <w:rFonts w:ascii="Times New Roman" w:hAnsi="Times New Roman" w:cs="Times New Roman"/>
          <w:sz w:val="24"/>
          <w:szCs w:val="24"/>
        </w:rPr>
        <w:t xml:space="preserve">István: </w:t>
      </w:r>
      <w:r>
        <w:rPr>
          <w:rFonts w:ascii="Times New Roman" w:hAnsi="Times New Roman" w:cs="Times New Roman"/>
          <w:i/>
          <w:sz w:val="24"/>
          <w:szCs w:val="24"/>
        </w:rPr>
        <w:t>A 18. századi Magyarország rendi országgyűlése</w:t>
      </w:r>
      <w:r>
        <w:rPr>
          <w:rFonts w:ascii="Times New Roman" w:hAnsi="Times New Roman" w:cs="Times New Roman"/>
          <w:sz w:val="24"/>
          <w:szCs w:val="24"/>
        </w:rPr>
        <w:t xml:space="preserve">. Budapest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Dobszay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</w:t>
      </w:r>
      <w:r>
        <w:rPr>
          <w:rFonts w:ascii="Times New Roman" w:hAnsi="Times New Roman" w:cs="Times New Roman"/>
          <w:i/>
          <w:sz w:val="24"/>
          <w:szCs w:val="24"/>
        </w:rPr>
        <w:t>A rendi országgyűlés utolsó évtizedei</w:t>
      </w:r>
      <w:r>
        <w:rPr>
          <w:rFonts w:ascii="Times New Roman" w:hAnsi="Times New Roman" w:cs="Times New Roman"/>
          <w:sz w:val="24"/>
          <w:szCs w:val="24"/>
        </w:rPr>
        <w:t xml:space="preserve"> (1790-1848) Budapest, 2019. </w:t>
      </w:r>
      <w:r>
        <w:rPr>
          <w:rFonts w:ascii="Times New Roman" w:hAnsi="Times New Roman" w:cs="Times New Roman"/>
          <w:smallCaps/>
          <w:sz w:val="24"/>
          <w:szCs w:val="24"/>
        </w:rPr>
        <w:t>Szente</w:t>
      </w:r>
      <w:r>
        <w:rPr>
          <w:rFonts w:ascii="Times New Roman" w:hAnsi="Times New Roman" w:cs="Times New Roman"/>
          <w:sz w:val="24"/>
          <w:szCs w:val="24"/>
        </w:rPr>
        <w:t xml:space="preserve"> Zoltán: </w:t>
      </w:r>
      <w:r>
        <w:rPr>
          <w:rFonts w:ascii="Times New Roman" w:hAnsi="Times New Roman" w:cs="Times New Roman"/>
          <w:i/>
          <w:sz w:val="24"/>
          <w:szCs w:val="24"/>
        </w:rPr>
        <w:t>A parlamentek története</w:t>
      </w:r>
      <w:r>
        <w:rPr>
          <w:rFonts w:ascii="Times New Roman" w:hAnsi="Times New Roman" w:cs="Times New Roman"/>
          <w:sz w:val="24"/>
          <w:szCs w:val="24"/>
        </w:rPr>
        <w:t xml:space="preserve"> (A korai rendi gyűlések kialakulásától a modern népképviseleti törvényhozásokig. Budapest, 2018.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Récsi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Emil: </w:t>
      </w:r>
      <w:r>
        <w:rPr>
          <w:rFonts w:ascii="Times New Roman" w:hAnsi="Times New Roman" w:cs="Times New Roman"/>
          <w:i/>
          <w:sz w:val="24"/>
          <w:szCs w:val="24"/>
        </w:rPr>
        <w:t xml:space="preserve">Magyarország közjoga a mint 1848-ig s 1848-ban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fenállott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Buda-Pest 1861. Kiadja Pfeiffer Ferdinánd;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Sándorffy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Kamill: </w:t>
      </w:r>
      <w:r>
        <w:rPr>
          <w:rFonts w:ascii="Times New Roman" w:hAnsi="Times New Roman" w:cs="Times New Roman"/>
          <w:i/>
          <w:sz w:val="24"/>
          <w:szCs w:val="24"/>
        </w:rPr>
        <w:t>Törvényalkotásunk hőskor</w:t>
      </w:r>
      <w:r>
        <w:rPr>
          <w:rFonts w:ascii="Times New Roman" w:hAnsi="Times New Roman" w:cs="Times New Roman"/>
          <w:sz w:val="24"/>
          <w:szCs w:val="24"/>
        </w:rPr>
        <w:t xml:space="preserve">a Budapest, 1935. A szerző kiadása. Pesti Sándor: </w:t>
      </w:r>
      <w:r>
        <w:rPr>
          <w:rFonts w:ascii="Times New Roman" w:hAnsi="Times New Roman" w:cs="Times New Roman"/>
          <w:i/>
          <w:sz w:val="24"/>
          <w:szCs w:val="24"/>
        </w:rPr>
        <w:t xml:space="preserve">Az újkori magyar parlament. </w:t>
      </w:r>
      <w:r>
        <w:rPr>
          <w:rFonts w:ascii="Times New Roman" w:hAnsi="Times New Roman" w:cs="Times New Roman"/>
          <w:sz w:val="24"/>
          <w:szCs w:val="24"/>
        </w:rPr>
        <w:t>Budapest, 2002, Osiris Kiadó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A4D1A54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7CC1A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 Hatalmi ágak a történeti alkotmány rendszerében. A bírói hata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8"/>
          <w:szCs w:val="28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(BÓDINÉ BELIZNAI Kinga egyetemi docens)</w:t>
      </w:r>
    </w:p>
    <w:p w14:paraId="4F5DD524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március 25.</w:t>
      </w:r>
    </w:p>
    <w:p w14:paraId="5DC69BCB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3B328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▪A bírói hatalom gyakorlásáról szóló 1869. évi IV. tc.</w:t>
      </w:r>
    </w:p>
    <w:p w14:paraId="510CDB66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▪A bírói függetlenség 19. századi deklarálásának jogtörténeti előzményei</w:t>
      </w:r>
    </w:p>
    <w:p w14:paraId="7549B809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▪A bírói függetlenség garanciái</w:t>
      </w:r>
    </w:p>
    <w:p w14:paraId="28262543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▪A bírói felelősség szabályozása</w:t>
      </w:r>
    </w:p>
    <w:p w14:paraId="5A7035B5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C94DB4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hAnsi="Times New Roman" w:cs="Times New Roman"/>
          <w:smallCaps/>
          <w:sz w:val="24"/>
          <w:szCs w:val="24"/>
        </w:rPr>
        <w:t>Irodalom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A bírói hatalom gyakorlásáról szóló 1869. évi IV. törvénycikk megalkotásának 150. évfordulója</w:t>
      </w:r>
      <w:r>
        <w:rPr>
          <w:rFonts w:ascii="Times New Roman" w:hAnsi="Times New Roman" w:cs="Times New Roman"/>
          <w:sz w:val="24"/>
          <w:szCs w:val="24"/>
        </w:rPr>
        <w:t xml:space="preserve"> (Kúria). Budapest, 2019. </w:t>
      </w:r>
      <w:r>
        <w:rPr>
          <w:rFonts w:ascii="Times New Roman" w:hAnsi="Times New Roman" w:cs="Times New Roman"/>
          <w:smallCaps/>
          <w:sz w:val="24"/>
          <w:szCs w:val="24"/>
        </w:rPr>
        <w:t>Bódiné Beliznai</w:t>
      </w:r>
      <w:r>
        <w:rPr>
          <w:rFonts w:ascii="Times New Roman" w:hAnsi="Times New Roman" w:cs="Times New Roman"/>
          <w:sz w:val="24"/>
          <w:szCs w:val="24"/>
        </w:rPr>
        <w:t xml:space="preserve"> Kinga: A bírói felelősség szabályozása Magyarországon 1871-ben. </w:t>
      </w:r>
      <w:r>
        <w:rPr>
          <w:rFonts w:ascii="Times New Roman" w:hAnsi="Times New Roman" w:cs="Times New Roman"/>
          <w:i/>
          <w:sz w:val="24"/>
          <w:szCs w:val="24"/>
        </w:rPr>
        <w:t>Jogtörténeti Szemle</w:t>
      </w:r>
      <w:r>
        <w:rPr>
          <w:rFonts w:ascii="Times New Roman" w:hAnsi="Times New Roman" w:cs="Times New Roman"/>
          <w:sz w:val="24"/>
          <w:szCs w:val="24"/>
        </w:rPr>
        <w:t xml:space="preserve">, 2019. 2. sz. </w:t>
      </w:r>
      <w:r>
        <w:rPr>
          <w:rFonts w:ascii="Times New Roman" w:hAnsi="Times New Roman" w:cs="Times New Roman"/>
          <w:smallCaps/>
          <w:sz w:val="24"/>
          <w:szCs w:val="24"/>
        </w:rPr>
        <w:t>Bódiné Beliznai</w:t>
      </w:r>
      <w:r>
        <w:rPr>
          <w:rFonts w:ascii="Times New Roman" w:hAnsi="Times New Roman" w:cs="Times New Roman"/>
          <w:sz w:val="24"/>
          <w:szCs w:val="24"/>
        </w:rPr>
        <w:t xml:space="preserve"> Kinga: A bírói függetlenség szabályozása a Hármaskönyvben. </w:t>
      </w:r>
      <w:r>
        <w:rPr>
          <w:rFonts w:ascii="Times New Roman" w:hAnsi="Times New Roman" w:cs="Times New Roman"/>
          <w:i/>
          <w:sz w:val="24"/>
          <w:szCs w:val="24"/>
        </w:rPr>
        <w:t>Jogtörténeti Szemle</w:t>
      </w:r>
      <w:r>
        <w:rPr>
          <w:rFonts w:ascii="Times New Roman" w:hAnsi="Times New Roman" w:cs="Times New Roman"/>
          <w:sz w:val="24"/>
          <w:szCs w:val="24"/>
        </w:rPr>
        <w:t xml:space="preserve">, 2014. 4. sz.–2015. 1. sz.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>Csánk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Béla: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 bírói függetlenség hazánkban és a külföldön.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Budapest, 1942.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>Csemegi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Károly: A bírói fegyelmi törvény és a bírói függetlenség. In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>Edvi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 xml:space="preserve"> Illés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Károly –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 xml:space="preserve">Gyomai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Zsigmond (sajtó alá rend.):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Csemegi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Károly művei.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I. kötet. Budapest, 1904.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 xml:space="preserve">Máthé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Gábor: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A magyar burzsoá igazságszolgáltatási szervezet kialakulása 1867–1875.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Budapest, 1982. Perek, bírák, bíróságok. A magyarországi bíráskodás 1000 éve.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hu-HU"/>
        </w:rPr>
        <w:t>Rubicon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2019. 9–10. sz.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bdr w:val="none" w:sz="0" w:space="0" w:color="auto" w:frame="1"/>
          <w:lang w:eastAsia="hu-HU"/>
        </w:rPr>
        <w:t xml:space="preserve">Sólyom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Andor: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Fegyelmi jog az igazságügyi szakban.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Budapest, 1901. A bírói felelősség rendszere.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Jogtudományi Közlöny,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1888. 50. sz.</w:t>
      </w:r>
    </w:p>
    <w:p w14:paraId="4EB6A9E9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4056" w14:textId="77777777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Hatalmi ágak a történelmi alkotmány rendszerében.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Történelmi alkotmány és állampolgári jogvédelem (A közigazgatási bíráskodás kialakulása Magyarországon [1848-1896]) </w:t>
      </w:r>
      <w:r>
        <w:rPr>
          <w:rFonts w:ascii="Times New Roman" w:hAnsi="Times New Roman" w:cs="Times New Roman"/>
          <w:sz w:val="24"/>
          <w:szCs w:val="24"/>
        </w:rPr>
        <w:t>(STIPTA István egyetemi tanár)</w:t>
      </w:r>
    </w:p>
    <w:p w14:paraId="552E0446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április 8.</w:t>
      </w:r>
    </w:p>
    <w:p w14:paraId="6166D3E2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▪ a közigazgatási bíráskodás kialakulása Magyarországon (Az 1848-1849-i előzmények. kísérletek a kiegyezés után. Kompromisszumok: az 1883. évi XLIII. tc. felé vezető út.) A fordulat: Szilágyi Dezső igazságügyi miniszteri kinevezése.</w:t>
      </w:r>
    </w:p>
    <w:p w14:paraId="40DB78DE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▪ Előszentesítési jog és a történelmi alkotmány.</w:t>
      </w:r>
    </w:p>
    <w:p w14:paraId="3EB8A87A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▪ a pénzügyi közigazgatási bíróság létrehozatala (A közigazgatási jogviták elbírálásának rendszere 1883-ig. Tudományos viták a pénzügyi közigazgatási bíráskodásról, Tisza Kálmán elvi álláspontja. Az első közigazgatási ankét és a közigazgatási bíráskodás.)</w:t>
      </w:r>
    </w:p>
    <w:p w14:paraId="4D242344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▪ A pénzügyi közigazgatási bíráskodás alkotmányos öröksége.</w:t>
      </w:r>
    </w:p>
    <w:p w14:paraId="7E69C476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A2DE20" w14:textId="77777777" w:rsidR="004A05F2" w:rsidRDefault="004A05F2" w:rsidP="004A05F2">
      <w:pPr>
        <w:shd w:val="clear" w:color="auto" w:fill="D9D9D9" w:themeFill="background1" w:themeFillShade="D9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irodalom: </w:t>
      </w:r>
    </w:p>
    <w:p w14:paraId="153043D3" w14:textId="77777777" w:rsidR="004A05F2" w:rsidRDefault="004A05F2" w:rsidP="004A05F2">
      <w:pPr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lastRenderedPageBreak/>
        <w:t>Stipta</w:t>
      </w:r>
      <w:proofErr w:type="spellEnd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István: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 Pénzügyi Közigazgatási Bíróság létrejötte és tevékenysége (1884-1896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MTA doktori értekezés Budapest, 2020.;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Concha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Győző: A közigazgatási bíráskodás az alkotmányosság és az egyéni joghoz való viszonyában. Athenaeum. Budapest, 1877.; 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Csillag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Gyula: A közigazgatási bíróságok hatásköre. Budapest, 1891.; 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Gruber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Lajos: A közigazgatási bíráskodás eszméje, kellékei és alakzatai Európában, különös tekintettel Magyarországra és e kérdés parlamentáris történetére hazánkban. Budapest, 1877.; </w:t>
      </w:r>
      <w:proofErr w:type="spellStart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Lánczy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Gyula: A közigazgatási bíráskodás szervezéséről Magyarországon. Budapest,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Zilahy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1883.;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Martonyi</w:t>
      </w:r>
      <w:r>
        <w:rPr>
          <w:rFonts w:ascii="Times New Roman" w:hAnsi="Times New Roman" w:cs="Times New Roman"/>
          <w:sz w:val="24"/>
          <w:szCs w:val="24"/>
        </w:rPr>
        <w:t xml:space="preserve"> János: A közigazgatási bíráskodás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legújabbkori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fejlődése. Budapest, 1932.</w:t>
      </w:r>
    </w:p>
    <w:p w14:paraId="77A6B317" w14:textId="77777777" w:rsidR="004A05F2" w:rsidRDefault="004A05F2" w:rsidP="004A05F2">
      <w:pPr>
        <w:shd w:val="clear" w:color="auto" w:fill="D9D9D9" w:themeFill="background1" w:themeFillShade="D9"/>
        <w:rPr>
          <w:rFonts w:ascii="Times New Roman" w:eastAsia="Times New Roman" w:hAnsi="Times New Roman" w:cs="Times New Roman"/>
          <w:bCs/>
          <w:color w:val="000000"/>
        </w:rPr>
      </w:pPr>
    </w:p>
    <w:p w14:paraId="51317776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0B850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BDC16" w14:textId="77777777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mallCaps/>
          <w:sz w:val="24"/>
          <w:szCs w:val="24"/>
        </w:rPr>
        <w:t>Bódiné Beliznai</w:t>
      </w:r>
      <w:r>
        <w:rPr>
          <w:rFonts w:ascii="Times New Roman" w:hAnsi="Times New Roman" w:cs="Times New Roman"/>
          <w:sz w:val="24"/>
          <w:szCs w:val="24"/>
        </w:rPr>
        <w:t xml:space="preserve"> Kinga egyetemi docens)</w:t>
      </w:r>
    </w:p>
    <w:p w14:paraId="09E6F7C3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április 15.</w:t>
      </w:r>
    </w:p>
    <w:p w14:paraId="7CBB970E" w14:textId="77777777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39EDC29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Az angol parlament működéséhez kapcsolódó szimbólumok története</w:t>
      </w:r>
    </w:p>
    <w:p w14:paraId="4070F646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 szimbólumrendszer jelentősége napjainkban▪ </w:t>
      </w:r>
    </w:p>
    <w:p w14:paraId="48A4AC0D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06959A5" w14:textId="77777777" w:rsidR="004A05F2" w:rsidRDefault="004A05F2" w:rsidP="004A05F2">
      <w:pPr>
        <w:shd w:val="clear" w:color="auto" w:fill="D9D9D9" w:themeFill="background1" w:themeFillShade="D9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smallCaps/>
          <w:color w:val="000000"/>
        </w:rPr>
        <w:t xml:space="preserve">Szakirodalom </w:t>
      </w:r>
      <w:r>
        <w:rPr>
          <w:rFonts w:ascii="Times New Roman" w:eastAsia="Times New Roman" w:hAnsi="Times New Roman" w:cs="Times New Roman"/>
          <w:color w:val="000000"/>
        </w:rPr>
        <w:t xml:space="preserve">Apróságok az angol parlamentről. Vasárnapi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Ujság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1886. 6. szám; Angol parlamenti élet. Tolnai Világlapja, 1908. 21. szám;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Traditions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Parliament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hyperlink r:id="rId16" w:history="1">
        <w:r>
          <w:rPr>
            <w:rStyle w:val="Hyperlink"/>
            <w:rFonts w:ascii="Times New Roman" w:eastAsia="Times New Roman" w:hAnsi="Times New Roman" w:cs="Times New Roman"/>
          </w:rPr>
          <w:t>www.parliament.uk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about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customs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Mackenzie,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Kenneth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The English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Parliament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London, 1963.</w:t>
      </w:r>
    </w:p>
    <w:p w14:paraId="14A0F080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72527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5462" w14:textId="49520DC7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Történeti alkotmány, sarkalatos törvények és írott alkotmányok Skandináviában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256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KÉPES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György habil. egyetemi docens)</w:t>
      </w:r>
    </w:p>
    <w:p w14:paraId="60472052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22</w:t>
      </w:r>
    </w:p>
    <w:p w14:paraId="23AFD922" w14:textId="77777777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29C40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</w:rPr>
        <w:t>A skandináv alkotmányos hagyomány a viking kortól a kora újkorig</w:t>
      </w:r>
    </w:p>
    <w:p w14:paraId="5952B9E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</w:rPr>
        <w:t>A svéd modell: kormányforma-törvények és országgyűlési rendtartások a 17. századtól napjainkig</w:t>
      </w:r>
    </w:p>
    <w:p w14:paraId="55B2BFF0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</w:rPr>
        <w:t>A dán modell: az abszolút monarchia írott alaptörvényeitől a "júniusi alkotmányokig"</w:t>
      </w:r>
    </w:p>
    <w:p w14:paraId="457A3F0A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</w:rPr>
        <w:t>A norvég modell: egy kis Észak-Amerika Észak-Európában?</w:t>
      </w:r>
    </w:p>
    <w:p w14:paraId="7DD14F33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color w:val="000000"/>
        </w:rPr>
        <w:t>Az északi köztársaságok: Izland és Finnország a modern korban</w:t>
      </w:r>
    </w:p>
    <w:p w14:paraId="61D85F4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4CCC58B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Balogh</w:t>
      </w:r>
      <w:r>
        <w:rPr>
          <w:rFonts w:ascii="Times New Roman" w:eastAsia="Times New Roman" w:hAnsi="Times New Roman" w:cs="Times New Roman"/>
          <w:color w:val="000000"/>
        </w:rPr>
        <w:t xml:space="preserve"> Elemér: 200 éves a norvég alkotmány. </w:t>
      </w:r>
      <w:r>
        <w:rPr>
          <w:rFonts w:ascii="Times New Roman" w:eastAsia="Times New Roman" w:hAnsi="Times New Roman" w:cs="Times New Roman"/>
          <w:i/>
          <w:color w:val="000000"/>
        </w:rPr>
        <w:t>Alkotmánybírósági Szemle</w:t>
      </w:r>
      <w:r>
        <w:rPr>
          <w:rFonts w:ascii="Times New Roman" w:eastAsia="Times New Roman" w:hAnsi="Times New Roman" w:cs="Times New Roman"/>
          <w:color w:val="000000"/>
        </w:rPr>
        <w:t xml:space="preserve"> (2014: 1. sz.) 111–117.</w:t>
      </w: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9 </w:t>
      </w:r>
      <w:r>
        <w:rPr>
          <w:rFonts w:ascii="Times New Roman" w:eastAsia="Times New Roman" w:hAnsi="Times New Roman" w:cs="Times New Roman"/>
          <w:smallCaps/>
          <w:color w:val="000000"/>
        </w:rPr>
        <w:t>Képes</w:t>
      </w:r>
      <w:r>
        <w:rPr>
          <w:rFonts w:ascii="Times New Roman" w:eastAsia="Times New Roman" w:hAnsi="Times New Roman" w:cs="Times New Roman"/>
          <w:color w:val="000000"/>
        </w:rPr>
        <w:t xml:space="preserve"> György: </w:t>
      </w:r>
      <w:r>
        <w:rPr>
          <w:rFonts w:ascii="Times New Roman" w:eastAsia="Times New Roman" w:hAnsi="Times New Roman" w:cs="Times New Roman"/>
          <w:i/>
          <w:color w:val="000000"/>
        </w:rPr>
        <w:t>A Dán Királyság alkotmánytörténete a kezdetektől 1848-ig</w:t>
      </w:r>
      <w:r>
        <w:rPr>
          <w:rFonts w:ascii="Times New Roman" w:eastAsia="Times New Roman" w:hAnsi="Times New Roman" w:cs="Times New Roman"/>
          <w:color w:val="000000"/>
        </w:rPr>
        <w:t xml:space="preserve">. Budapest,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2019. 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</w:rPr>
        <w:t>Képes</w:t>
      </w:r>
      <w:r>
        <w:rPr>
          <w:rFonts w:ascii="Times New Roman" w:eastAsia="Times New Roman" w:hAnsi="Times New Roman" w:cs="Times New Roman"/>
          <w:color w:val="000000"/>
        </w:rPr>
        <w:t xml:space="preserve"> György: Az 1814. évi norvég alkotmány. </w:t>
      </w:r>
      <w:r>
        <w:rPr>
          <w:rFonts w:ascii="Times New Roman" w:eastAsia="Times New Roman" w:hAnsi="Times New Roman" w:cs="Times New Roman"/>
          <w:i/>
          <w:color w:val="000000"/>
        </w:rPr>
        <w:t>Jogtörténeti Szemle</w:t>
      </w:r>
      <w:r>
        <w:rPr>
          <w:rFonts w:ascii="Times New Roman" w:eastAsia="Times New Roman" w:hAnsi="Times New Roman" w:cs="Times New Roman"/>
          <w:color w:val="000000"/>
        </w:rPr>
        <w:t xml:space="preserve"> (2014: 1. sz.)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smallCaps/>
          <w:color w:val="000000"/>
        </w:rPr>
        <w:t>Képes</w:t>
      </w:r>
      <w:r>
        <w:rPr>
          <w:rFonts w:ascii="Times New Roman" w:eastAsia="Times New Roman" w:hAnsi="Times New Roman" w:cs="Times New Roman"/>
          <w:color w:val="000000"/>
        </w:rPr>
        <w:t xml:space="preserve"> György: Svédország alkotmánya és közigazgatása Gustav Vasától XII. Károlyig (1523–1718). </w:t>
      </w:r>
      <w:r>
        <w:rPr>
          <w:rFonts w:ascii="Times New Roman" w:eastAsia="Times New Roman" w:hAnsi="Times New Roman" w:cs="Times New Roman"/>
          <w:i/>
          <w:color w:val="000000"/>
        </w:rPr>
        <w:t>Jogtörténeti Szemle</w:t>
      </w:r>
      <w:r>
        <w:rPr>
          <w:rFonts w:ascii="Times New Roman" w:eastAsia="Times New Roman" w:hAnsi="Times New Roman" w:cs="Times New Roman"/>
          <w:color w:val="000000"/>
        </w:rPr>
        <w:t xml:space="preserve"> (2014: 1. sz.); </w:t>
      </w:r>
      <w:r>
        <w:rPr>
          <w:rFonts w:ascii="Times New Roman" w:eastAsia="Times New Roman" w:hAnsi="Times New Roman" w:cs="Times New Roman"/>
          <w:smallCaps/>
          <w:color w:val="000000"/>
        </w:rPr>
        <w:t xml:space="preserve">Nagy </w:t>
      </w:r>
      <w:r>
        <w:rPr>
          <w:rFonts w:ascii="Times New Roman" w:eastAsia="Times New Roman" w:hAnsi="Times New Roman" w:cs="Times New Roman"/>
          <w:color w:val="000000"/>
        </w:rPr>
        <w:t xml:space="preserve">Gábor: </w:t>
      </w:r>
      <w:r>
        <w:rPr>
          <w:rFonts w:ascii="Times New Roman" w:eastAsia="Times New Roman" w:hAnsi="Times New Roman" w:cs="Times New Roman"/>
          <w:i/>
          <w:color w:val="000000"/>
        </w:rPr>
        <w:t>A középkori Svéd Királyság története</w:t>
      </w:r>
      <w:r>
        <w:rPr>
          <w:rFonts w:ascii="Times New Roman" w:eastAsia="Times New Roman" w:hAnsi="Times New Roman" w:cs="Times New Roman"/>
          <w:color w:val="000000"/>
        </w:rPr>
        <w:t xml:space="preserve">. Miskolc, 2012. 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Helle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Knut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szerk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Cambridge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Scandinavia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Vol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. 1: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Prehistory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to 1520</w:t>
      </w:r>
      <w:r>
        <w:rPr>
          <w:rFonts w:ascii="Times New Roman" w:eastAsia="Times New Roman" w:hAnsi="Times New Roman" w:cs="Times New Roman"/>
          <w:color w:val="000000"/>
        </w:rPr>
        <w:t xml:space="preserve">. Cambridge, 2008. [II/8. fejezet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Early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160–234.; IV/12. fejezet –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Towards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nationally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systems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government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345–420.; VII/23. fejezet –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Schück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Herman: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679–709.] 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Kouri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Erkki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I.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Olesen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E. (szerk.):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The Cambridge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history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Scandinavia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Vol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 2: 1520; 1870</w:t>
      </w:r>
      <w:r>
        <w:rPr>
          <w:rFonts w:ascii="Times New Roman" w:eastAsia="Times New Roman" w:hAnsi="Times New Roman" w:cs="Times New Roman"/>
          <w:color w:val="000000"/>
        </w:rPr>
        <w:t xml:space="preserve">. Cambridge, 2016. [III/17. fejezet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Jespersen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Leon: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aristocratic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absolutism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(1660–82), 343–369.; V/30. fejezet – 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Pulma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Constitution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641–673.; VIII/43. fejezet –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Jansson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Torkel: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constitutional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907–927.; VIII/45. fejezet: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Saarinen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Hannes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Finland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emergence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934–945.; VIII/49. fejezet: 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</w:rPr>
        <w:t>Agnarsdóttir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Anna: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Iceland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emergence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992–1008.]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</w:p>
    <w:p w14:paraId="7EC344A7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DAEBC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Az alkotmánybíráskodás megszületéséhez vezető út. Alkotmányvédelem Magyarországon 1848–1867 </w:t>
      </w:r>
      <w:r>
        <w:rPr>
          <w:rFonts w:ascii="Times New Roman" w:hAnsi="Times New Roman" w:cs="Times New Roman"/>
          <w:sz w:val="24"/>
          <w:szCs w:val="24"/>
        </w:rPr>
        <w:t>(KÉPESSY Imre tanársegéd)</w:t>
      </w:r>
    </w:p>
    <w:p w14:paraId="079523B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április 29.</w:t>
      </w:r>
    </w:p>
    <w:p w14:paraId="7F87C68B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8C300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z w:val="24"/>
          <w:szCs w:val="24"/>
        </w:rPr>
        <w:t>1848 alkotmányos forradalma – avagy miért ragaszkodott a reformkori nemzedék ennyire (történeti) alkotmányunkhoz?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BD9E43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z w:val="24"/>
          <w:szCs w:val="24"/>
        </w:rPr>
        <w:t>Kossuth alkotmánytervezete – az Alkotmányőrszék</w:t>
      </w:r>
    </w:p>
    <w:p w14:paraId="496D19DA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z w:val="24"/>
          <w:szCs w:val="24"/>
        </w:rPr>
        <w:t>Alkotmányos kérdések az Országbírói Értekezlet ülésein</w:t>
      </w:r>
    </w:p>
    <w:p w14:paraId="79858BCB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sz w:val="24"/>
          <w:szCs w:val="24"/>
        </w:rPr>
        <w:t>Az út a kiegyezéshez - a magyar alkotmányosság helyreállítása.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50F584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8BB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Irodalom: 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4"/>
        </w:rPr>
        <w:t>Spira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György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Kossuth és alkotmányterve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Debrecen, Csokonai Kiadóvállalat, 1989. 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4"/>
        </w:rPr>
        <w:t>Ruszoly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József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Alkotmány és hagyomány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Szeged,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JATEPress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1997. 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4"/>
        </w:rPr>
        <w:t>Bragyova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András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Az alkotmánybíráskodás elmélete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Budapest, MTA Állam- és Jogtudományi Intézete, KJK, 1994.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Deák István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 törvényes forradalom. Kossuth Lajos és a magyarok 1848-49-ben.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Gondolat, Budapest, 1983.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Gergely András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Magyarország története a 19. században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Osiris, Budapest, 2005.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Károlyi Árpád</w:t>
      </w:r>
      <w:r>
        <w:rPr>
          <w:rFonts w:ascii="Times New Roman" w:eastAsia="Calibri" w:hAnsi="Times New Roman" w:cs="Times New Roman"/>
          <w:sz w:val="24"/>
          <w:szCs w:val="24"/>
        </w:rPr>
        <w:t xml:space="preserve">: Az 1848-diki pozsonyi törvénycikkek az udvar előtt. Magyar Történelmi Társulat, Budapest, 1936.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Mezey Barna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Parlamenti kormányzat vagy parlamentáris reform? (A magyar parlamentáris rendszer kialakítása 1848-ban)</w:t>
      </w:r>
      <w:r>
        <w:rPr>
          <w:rFonts w:ascii="Times New Roman" w:eastAsia="Calibri" w:hAnsi="Times New Roman" w:cs="Times New Roman"/>
          <w:sz w:val="24"/>
          <w:szCs w:val="24"/>
        </w:rPr>
        <w:t>. In: Balogh Judit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.): Kossuth Lajos és a Modern Állam Koncepciója című országos jogtörténeti konferencia (Debrecen, 2002. október 3-4.) tanulmányai. DE ÁJK, Debrecen, 2004. 71-82.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Mezey Barna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Szuverenitáskérdések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In: Jogtörténeti Szemle, 2015/3. szám. Gondolat, Budapest.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Réz Mihály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Magyarország és Ausztria közjogi viszonya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Budapest, 1910. 21. p.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Degré Alajos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Magyar alkotmány- és jogtörténet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IDResearch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Kft.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Publikon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Kiado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́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Pécsi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Tudományegyetem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Állam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és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Jogtudományi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Kar, Pécs, 2010.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Szabó István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Történeti alkotmány a polgári korban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Jogtörténeti Szemle, 2014/4-2015/1.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Deák Ferenc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Adalék a magyar közjoghoz</w:t>
      </w:r>
      <w:r>
        <w:rPr>
          <w:rFonts w:ascii="Times New Roman" w:eastAsia="Calibri" w:hAnsi="Times New Roman" w:cs="Times New Roman"/>
          <w:sz w:val="24"/>
          <w:szCs w:val="24"/>
        </w:rPr>
        <w:t xml:space="preserve">. Lásd: Kónyi 1889, III. kötet.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Hanák Péter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1867 európai térben és időben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MTA Történettudományi Intézete, Budapest, 2001. 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4"/>
        </w:rPr>
        <w:t>Kecskeméthy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4"/>
        </w:rPr>
        <w:t xml:space="preserve"> Aurél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>Vázlatok egy év történetéből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Emich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Gusztáv akadémiai nyomdász, Pest, 1862.</w:t>
      </w:r>
    </w:p>
    <w:p w14:paraId="04E7BF41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49A0D6F0" w14:textId="77777777" w:rsidR="004A05F2" w:rsidRDefault="004A05F2" w:rsidP="004A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2831D" w14:textId="7746C61C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A hatalmi ágak elválasztásának építészeti következményei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</w:t>
      </w:r>
      <w:r w:rsidR="00256885">
        <w:rPr>
          <w:rFonts w:ascii="Times New Roman" w:hAnsi="Times New Roman" w:cs="Times New Roman"/>
          <w:sz w:val="24"/>
          <w:szCs w:val="24"/>
        </w:rPr>
        <w:t xml:space="preserve">EGYERI-PÁLFFI </w:t>
      </w:r>
      <w:r>
        <w:rPr>
          <w:rFonts w:ascii="Times New Roman" w:hAnsi="Times New Roman" w:cs="Times New Roman"/>
          <w:sz w:val="24"/>
          <w:szCs w:val="24"/>
        </w:rPr>
        <w:t xml:space="preserve">Zoltán tudományos munkatárs) </w:t>
      </w:r>
    </w:p>
    <w:p w14:paraId="704CC5C6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május 6.</w:t>
      </w:r>
    </w:p>
    <w:p w14:paraId="4C4C3FC1" w14:textId="77777777" w:rsidR="004A05F2" w:rsidRDefault="004A05F2" w:rsidP="004A05F2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sz w:val="24"/>
          <w:szCs w:val="24"/>
        </w:rPr>
      </w:pPr>
    </w:p>
    <w:p w14:paraId="2436AEA6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az 1869. évi IV. törvénycikk jelentősége</w:t>
      </w:r>
    </w:p>
    <w:p w14:paraId="60D6E07B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 bírósági szervezet modernizálása</w:t>
      </w:r>
    </w:p>
    <w:p w14:paraId="2E6EC825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az igazságügyi épületek specialitásai</w:t>
      </w:r>
    </w:p>
    <w:p w14:paraId="6B00F7C6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 törvényhozást érintő reformok</w:t>
      </w:r>
    </w:p>
    <w:p w14:paraId="1F2E59F2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az Országgyűlés épületei</w:t>
      </w:r>
    </w:p>
    <w:p w14:paraId="503D6BDC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 közigazgatási szervezet modernizálása</w:t>
      </w:r>
    </w:p>
    <w:p w14:paraId="5F5FB3AE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</w:rPr>
        <w:t>a közigazgatási épületek specialitásai</w:t>
      </w:r>
    </w:p>
    <w:p w14:paraId="757D1577" w14:textId="77777777" w:rsidR="004A05F2" w:rsidRDefault="004A05F2" w:rsidP="004A05F2">
      <w:pPr>
        <w:pStyle w:val="ListParagraph"/>
        <w:shd w:val="clear" w:color="auto" w:fill="D9D9D9" w:themeFill="background1" w:themeFillShade="D9"/>
        <w:spacing w:after="0"/>
        <w:ind w:left="0"/>
        <w:rPr>
          <w:rFonts w:ascii="Times New Roman" w:hAnsi="Times New Roman" w:cs="Times New Roman"/>
        </w:rPr>
      </w:pPr>
    </w:p>
    <w:p w14:paraId="5AAD6EB7" w14:textId="77777777" w:rsidR="004A05F2" w:rsidRDefault="004A05F2" w:rsidP="004A05F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Irodalom: </w:t>
      </w:r>
      <w:r>
        <w:rPr>
          <w:rFonts w:ascii="Times New Roman" w:eastAsia="Times New Roman" w:hAnsi="Times New Roman" w:cs="Times New Roman"/>
          <w:smallCaps/>
        </w:rPr>
        <w:t>Bódiné Beliznai</w:t>
      </w:r>
      <w:r>
        <w:rPr>
          <w:rFonts w:ascii="Times New Roman" w:eastAsia="Times New Roman" w:hAnsi="Times New Roman" w:cs="Times New Roman"/>
        </w:rPr>
        <w:t xml:space="preserve"> Kinga: </w:t>
      </w:r>
      <w:r>
        <w:rPr>
          <w:rFonts w:ascii="Times New Roman" w:eastAsia="Times New Roman" w:hAnsi="Times New Roman" w:cs="Times New Roman"/>
          <w:i/>
        </w:rPr>
        <w:t>120 éves az Igazságügyi P</w:t>
      </w:r>
      <w:r>
        <w:rPr>
          <w:rFonts w:ascii="Times New Roman" w:eastAsia="Times New Roman" w:hAnsi="Times New Roman" w:cs="Times New Roman"/>
        </w:rPr>
        <w:t xml:space="preserve">alota, Budapest, </w:t>
      </w:r>
      <w:proofErr w:type="spellStart"/>
      <w:r>
        <w:rPr>
          <w:rFonts w:ascii="Times New Roman" w:eastAsia="Times New Roman" w:hAnsi="Times New Roman" w:cs="Times New Roman"/>
        </w:rPr>
        <w:t>HVGorac</w:t>
      </w:r>
      <w:proofErr w:type="spellEnd"/>
      <w:r>
        <w:rPr>
          <w:rFonts w:ascii="Times New Roman" w:eastAsia="Times New Roman" w:hAnsi="Times New Roman" w:cs="Times New Roman"/>
        </w:rPr>
        <w:t xml:space="preserve">, 2016; </w:t>
      </w:r>
      <w:r>
        <w:rPr>
          <w:rFonts w:ascii="Times New Roman" w:eastAsia="Times New Roman" w:hAnsi="Times New Roman" w:cs="Times New Roman"/>
          <w:smallCaps/>
        </w:rPr>
        <w:t>Kállay</w:t>
      </w:r>
      <w:r>
        <w:rPr>
          <w:rFonts w:ascii="Times New Roman" w:eastAsia="Times New Roman" w:hAnsi="Times New Roman" w:cs="Times New Roman"/>
        </w:rPr>
        <w:t xml:space="preserve"> István – </w:t>
      </w:r>
      <w:r>
        <w:rPr>
          <w:rFonts w:ascii="Times New Roman" w:eastAsia="Times New Roman" w:hAnsi="Times New Roman" w:cs="Times New Roman"/>
          <w:smallCaps/>
        </w:rPr>
        <w:t>Pusztai</w:t>
      </w:r>
      <w:r>
        <w:rPr>
          <w:rFonts w:ascii="Times New Roman" w:eastAsia="Times New Roman" w:hAnsi="Times New Roman" w:cs="Times New Roman"/>
        </w:rPr>
        <w:t xml:space="preserve"> László – </w:t>
      </w:r>
      <w:proofErr w:type="spellStart"/>
      <w:r>
        <w:rPr>
          <w:rFonts w:ascii="Times New Roman" w:eastAsia="Times New Roman" w:hAnsi="Times New Roman" w:cs="Times New Roman"/>
          <w:smallCaps/>
        </w:rPr>
        <w:t>Stipta</w:t>
      </w:r>
      <w:proofErr w:type="spellEnd"/>
      <w:r>
        <w:rPr>
          <w:rFonts w:ascii="Times New Roman" w:eastAsia="Times New Roman" w:hAnsi="Times New Roman" w:cs="Times New Roman"/>
        </w:rPr>
        <w:t xml:space="preserve"> István: </w:t>
      </w:r>
      <w:r>
        <w:rPr>
          <w:rFonts w:ascii="Times New Roman" w:eastAsia="Times New Roman" w:hAnsi="Times New Roman" w:cs="Times New Roman"/>
          <w:i/>
        </w:rPr>
        <w:t>Bírósági épületek Magyarországon</w:t>
      </w:r>
      <w:r>
        <w:rPr>
          <w:rFonts w:ascii="Times New Roman" w:eastAsia="Times New Roman" w:hAnsi="Times New Roman" w:cs="Times New Roman"/>
        </w:rPr>
        <w:t xml:space="preserve">. HG &amp; Társa, Budapest, 1993; </w:t>
      </w:r>
      <w:r>
        <w:rPr>
          <w:rFonts w:ascii="Times New Roman" w:eastAsia="Times New Roman" w:hAnsi="Times New Roman" w:cs="Times New Roman"/>
          <w:smallCaps/>
        </w:rPr>
        <w:t>Kengyel</w:t>
      </w:r>
      <w:r>
        <w:rPr>
          <w:rFonts w:ascii="Times New Roman" w:eastAsia="Times New Roman" w:hAnsi="Times New Roman" w:cs="Times New Roman"/>
        </w:rPr>
        <w:t xml:space="preserve"> Miklós: </w:t>
      </w:r>
      <w:r>
        <w:rPr>
          <w:rFonts w:ascii="Times New Roman" w:eastAsia="Times New Roman" w:hAnsi="Times New Roman" w:cs="Times New Roman"/>
          <w:i/>
        </w:rPr>
        <w:t>Perkultúra. A bíróságok világa – a világ bíróságai</w:t>
      </w:r>
      <w:r>
        <w:rPr>
          <w:rFonts w:ascii="Times New Roman" w:eastAsia="Times New Roman" w:hAnsi="Times New Roman" w:cs="Times New Roman"/>
        </w:rPr>
        <w:t xml:space="preserve">, Budapest–Pécs, Dialóg Campus, 2011; </w:t>
      </w:r>
      <w:proofErr w:type="spellStart"/>
      <w:r>
        <w:rPr>
          <w:rFonts w:ascii="Times New Roman" w:eastAsia="Times New Roman" w:hAnsi="Times New Roman" w:cs="Times New Roman"/>
        </w:rPr>
        <w:t>Klemens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</w:rPr>
        <w:t>Klemmer</w:t>
      </w:r>
      <w:proofErr w:type="spellEnd"/>
      <w:r>
        <w:rPr>
          <w:rFonts w:ascii="Times New Roman" w:eastAsia="Times New Roman" w:hAnsi="Times New Roman" w:cs="Times New Roman"/>
        </w:rPr>
        <w:t xml:space="preserve"> – Rudolf </w:t>
      </w:r>
      <w:r>
        <w:rPr>
          <w:rFonts w:ascii="Times New Roman" w:eastAsia="Times New Roman" w:hAnsi="Times New Roman" w:cs="Times New Roman"/>
          <w:smallCaps/>
        </w:rPr>
        <w:t>Wassermann</w:t>
      </w:r>
      <w:r>
        <w:rPr>
          <w:rFonts w:ascii="Times New Roman" w:eastAsia="Times New Roman" w:hAnsi="Times New Roman" w:cs="Times New Roman"/>
        </w:rPr>
        <w:t xml:space="preserve"> – Thomas Michael </w:t>
      </w:r>
      <w:proofErr w:type="spellStart"/>
      <w:r>
        <w:rPr>
          <w:rFonts w:ascii="Times New Roman" w:eastAsia="Times New Roman" w:hAnsi="Times New Roman" w:cs="Times New Roman"/>
          <w:smallCaps/>
        </w:rPr>
        <w:t>Wessel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 xml:space="preserve">Deutsche </w:t>
      </w:r>
      <w:proofErr w:type="spellStart"/>
      <w:r>
        <w:rPr>
          <w:rFonts w:ascii="Times New Roman" w:eastAsia="Times New Roman" w:hAnsi="Times New Roman" w:cs="Times New Roman"/>
          <w:i/>
        </w:rPr>
        <w:t>Gerichtsgebäude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Von der </w:t>
      </w:r>
      <w:proofErr w:type="spellStart"/>
      <w:r>
        <w:rPr>
          <w:rFonts w:ascii="Times New Roman" w:eastAsia="Times New Roman" w:hAnsi="Times New Roman" w:cs="Times New Roman"/>
          <w:i/>
        </w:rPr>
        <w:t>Droflinde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über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i/>
        </w:rPr>
        <w:t>Justizpalast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zum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</w:rPr>
        <w:t>Rechts</w:t>
      </w:r>
      <w:proofErr w:type="spellEnd"/>
      <w:r>
        <w:rPr>
          <w:rFonts w:ascii="Times New Roman" w:eastAsia="Times New Roman" w:hAnsi="Times New Roman" w:cs="Times New Roman"/>
        </w:rPr>
        <w:t xml:space="preserve">, München, C. H. Beck, 1995; </w:t>
      </w: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Times New Roman" w:hAnsi="Times New Roman" w:cs="Times New Roman"/>
          <w:i/>
          <w:lang w:eastAsia="hu-HU"/>
        </w:rPr>
        <w:t>A magyar országgyűlés történetének képeskönyve [</w:t>
      </w:r>
      <w:proofErr w:type="spellStart"/>
      <w:r>
        <w:rPr>
          <w:rFonts w:ascii="Times New Roman" w:hAnsi="Times New Roman" w:cs="Times New Roman"/>
          <w:i/>
          <w:lang w:eastAsia="hu-HU"/>
        </w:rPr>
        <w:t>History</w:t>
      </w:r>
      <w:proofErr w:type="spellEnd"/>
      <w:r>
        <w:rPr>
          <w:rFonts w:ascii="Times New Roman" w:hAnsi="Times New Roman" w:cs="Times New Roman"/>
          <w:i/>
          <w:lang w:eastAsia="hu-HU"/>
        </w:rPr>
        <w:t xml:space="preserve"> of </w:t>
      </w:r>
      <w:proofErr w:type="spellStart"/>
      <w:r>
        <w:rPr>
          <w:rFonts w:ascii="Times New Roman" w:hAnsi="Times New Roman" w:cs="Times New Roman"/>
          <w:i/>
          <w:lang w:eastAsia="hu-HU"/>
        </w:rPr>
        <w:t>the</w:t>
      </w:r>
      <w:proofErr w:type="spellEnd"/>
      <w:r>
        <w:rPr>
          <w:rFonts w:ascii="Times New Roman" w:hAnsi="Times New Roman" w:cs="Times New Roman"/>
          <w:i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i/>
          <w:lang w:eastAsia="hu-HU"/>
        </w:rPr>
        <w:t>Hungarian</w:t>
      </w:r>
      <w:proofErr w:type="spellEnd"/>
      <w:r>
        <w:rPr>
          <w:rFonts w:ascii="Times New Roman" w:hAnsi="Times New Roman" w:cs="Times New Roman"/>
          <w:i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i/>
          <w:lang w:eastAsia="hu-HU"/>
        </w:rPr>
        <w:t>Parliament</w:t>
      </w:r>
      <w:proofErr w:type="spellEnd"/>
      <w:r>
        <w:rPr>
          <w:rFonts w:ascii="Times New Roman" w:hAnsi="Times New Roman" w:cs="Times New Roman"/>
          <w:i/>
          <w:lang w:eastAsia="hu-HU"/>
        </w:rPr>
        <w:t>/</w:t>
      </w:r>
      <w:proofErr w:type="spellStart"/>
      <w:r>
        <w:rPr>
          <w:rFonts w:ascii="Times New Roman" w:hAnsi="Times New Roman" w:cs="Times New Roman"/>
          <w:i/>
          <w:lang w:eastAsia="hu-HU"/>
        </w:rPr>
        <w:t>Geschichte</w:t>
      </w:r>
      <w:proofErr w:type="spellEnd"/>
      <w:r>
        <w:rPr>
          <w:rFonts w:ascii="Times New Roman" w:hAnsi="Times New Roman" w:cs="Times New Roman"/>
          <w:i/>
          <w:lang w:eastAsia="hu-HU"/>
        </w:rPr>
        <w:t xml:space="preserve"> des </w:t>
      </w:r>
      <w:proofErr w:type="spellStart"/>
      <w:r>
        <w:rPr>
          <w:rFonts w:ascii="Times New Roman" w:hAnsi="Times New Roman" w:cs="Times New Roman"/>
          <w:i/>
          <w:lang w:eastAsia="hu-HU"/>
        </w:rPr>
        <w:t>ungarischen</w:t>
      </w:r>
      <w:proofErr w:type="spellEnd"/>
      <w:r>
        <w:rPr>
          <w:rFonts w:ascii="Times New Roman" w:hAnsi="Times New Roman" w:cs="Times New Roman"/>
          <w:i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i/>
          <w:lang w:eastAsia="hu-HU"/>
        </w:rPr>
        <w:t>Parlaments</w:t>
      </w:r>
      <w:proofErr w:type="spellEnd"/>
      <w:r>
        <w:rPr>
          <w:rFonts w:ascii="Times New Roman" w:hAnsi="Times New Roman" w:cs="Times New Roman"/>
          <w:i/>
          <w:lang w:eastAsia="hu-HU"/>
        </w:rPr>
        <w:t>]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lang w:eastAsia="hu-HU"/>
        </w:rPr>
        <w:t>(</w:t>
      </w:r>
      <w:proofErr w:type="spellStart"/>
      <w:r>
        <w:rPr>
          <w:rFonts w:ascii="Times New Roman" w:hAnsi="Times New Roman" w:cs="Times New Roman"/>
          <w:lang w:eastAsia="hu-HU"/>
        </w:rPr>
        <w:t>szerk</w:t>
      </w:r>
      <w:proofErr w:type="spellEnd"/>
      <w:r>
        <w:rPr>
          <w:rFonts w:ascii="Times New Roman" w:hAnsi="Times New Roman" w:cs="Times New Roman"/>
          <w:lang w:eastAsia="hu-HU"/>
        </w:rPr>
        <w:t>./</w:t>
      </w:r>
      <w:proofErr w:type="spellStart"/>
      <w:r>
        <w:rPr>
          <w:rFonts w:ascii="Times New Roman" w:hAnsi="Times New Roman" w:cs="Times New Roman"/>
          <w:lang w:eastAsia="hu-HU"/>
        </w:rPr>
        <w:t>Hrsg</w:t>
      </w:r>
      <w:proofErr w:type="spellEnd"/>
      <w:r>
        <w:rPr>
          <w:rFonts w:ascii="Times New Roman" w:hAnsi="Times New Roman" w:cs="Times New Roman"/>
          <w:lang w:eastAsia="hu-HU"/>
        </w:rPr>
        <w:t>./</w:t>
      </w:r>
      <w:proofErr w:type="spellStart"/>
      <w:r>
        <w:rPr>
          <w:rFonts w:ascii="Times New Roman" w:hAnsi="Times New Roman" w:cs="Times New Roman"/>
          <w:lang w:eastAsia="hu-HU"/>
        </w:rPr>
        <w:t>Ed</w:t>
      </w:r>
      <w:proofErr w:type="spellEnd"/>
      <w:r>
        <w:rPr>
          <w:rFonts w:ascii="Times New Roman" w:hAnsi="Times New Roman" w:cs="Times New Roman"/>
          <w:lang w:eastAsia="hu-HU"/>
        </w:rPr>
        <w:t xml:space="preserve">. </w:t>
      </w:r>
      <w:r>
        <w:rPr>
          <w:rFonts w:ascii="Times New Roman" w:hAnsi="Times New Roman" w:cs="Times New Roman"/>
          <w:smallCaps/>
          <w:lang w:eastAsia="hu-HU"/>
        </w:rPr>
        <w:t xml:space="preserve">Mezey </w:t>
      </w:r>
      <w:r>
        <w:rPr>
          <w:rFonts w:ascii="Times New Roman" w:hAnsi="Times New Roman" w:cs="Times New Roman"/>
          <w:lang w:eastAsia="hu-HU"/>
        </w:rPr>
        <w:t xml:space="preserve">Barna) Budapest 1999. Osiris Kiadó; </w:t>
      </w:r>
      <w:r>
        <w:rPr>
          <w:rFonts w:ascii="Times New Roman" w:hAnsi="Times New Roman" w:cs="Times New Roman"/>
          <w:smallCaps/>
        </w:rPr>
        <w:t>Egry</w:t>
      </w:r>
      <w:r>
        <w:rPr>
          <w:rFonts w:ascii="Times New Roman" w:hAnsi="Times New Roman" w:cs="Times New Roman"/>
        </w:rPr>
        <w:t xml:space="preserve"> Margit – </w:t>
      </w:r>
      <w:r>
        <w:rPr>
          <w:rFonts w:ascii="Times New Roman" w:hAnsi="Times New Roman" w:cs="Times New Roman"/>
          <w:smallCaps/>
        </w:rPr>
        <w:t>Markovics</w:t>
      </w:r>
      <w:r>
        <w:rPr>
          <w:rFonts w:ascii="Times New Roman" w:hAnsi="Times New Roman" w:cs="Times New Roman"/>
        </w:rPr>
        <w:t xml:space="preserve"> Ferenc: Az Országház. Képzőművészeti Alap Kiadóvállalata, </w:t>
      </w:r>
      <w:r>
        <w:rPr>
          <w:rFonts w:ascii="Times New Roman" w:hAnsi="Times New Roman" w:cs="Times New Roman"/>
        </w:rPr>
        <w:lastRenderedPageBreak/>
        <w:t xml:space="preserve">Budapest, 1980; </w:t>
      </w:r>
      <w:r>
        <w:rPr>
          <w:rFonts w:ascii="Times New Roman" w:hAnsi="Times New Roman" w:cs="Times New Roman"/>
          <w:smallCaps/>
        </w:rPr>
        <w:t>Török</w:t>
      </w:r>
      <w:r>
        <w:rPr>
          <w:rFonts w:ascii="Times New Roman" w:hAnsi="Times New Roman" w:cs="Times New Roman"/>
        </w:rPr>
        <w:t xml:space="preserve"> András – </w:t>
      </w:r>
      <w:proofErr w:type="spellStart"/>
      <w:r>
        <w:rPr>
          <w:rFonts w:ascii="Times New Roman" w:hAnsi="Times New Roman" w:cs="Times New Roman"/>
          <w:smallCaps/>
        </w:rPr>
        <w:t>Wachsler</w:t>
      </w:r>
      <w:proofErr w:type="spellEnd"/>
      <w:r>
        <w:rPr>
          <w:rFonts w:ascii="Times New Roman" w:hAnsi="Times New Roman" w:cs="Times New Roman"/>
        </w:rPr>
        <w:t xml:space="preserve"> Tamás: </w:t>
      </w:r>
      <w:r>
        <w:rPr>
          <w:rFonts w:ascii="Times New Roman" w:hAnsi="Times New Roman" w:cs="Times New Roman"/>
          <w:i/>
        </w:rPr>
        <w:t>A nevezetes magyar Országház és a tér, ahol áll</w:t>
      </w:r>
      <w:r>
        <w:rPr>
          <w:rFonts w:ascii="Times New Roman" w:hAnsi="Times New Roman" w:cs="Times New Roman"/>
        </w:rPr>
        <w:t xml:space="preserve">. Az Országgyűlés Hivatala, Budapest, 2015; </w:t>
      </w:r>
      <w:r>
        <w:rPr>
          <w:rFonts w:ascii="Times New Roman" w:hAnsi="Times New Roman" w:cs="Times New Roman"/>
          <w:smallCaps/>
        </w:rPr>
        <w:t>Sisa</w:t>
      </w:r>
      <w:r>
        <w:rPr>
          <w:rFonts w:ascii="Times New Roman" w:hAnsi="Times New Roman" w:cs="Times New Roman"/>
        </w:rPr>
        <w:t xml:space="preserve"> József – </w:t>
      </w:r>
      <w:r>
        <w:rPr>
          <w:rFonts w:ascii="Times New Roman" w:hAnsi="Times New Roman" w:cs="Times New Roman"/>
          <w:smallCaps/>
        </w:rPr>
        <w:t>Sinkó</w:t>
      </w:r>
      <w:r>
        <w:rPr>
          <w:rFonts w:ascii="Times New Roman" w:hAnsi="Times New Roman" w:cs="Times New Roman"/>
        </w:rPr>
        <w:t xml:space="preserve"> Katalin – </w:t>
      </w:r>
      <w:r>
        <w:rPr>
          <w:rFonts w:ascii="Times New Roman" w:hAnsi="Times New Roman" w:cs="Times New Roman"/>
          <w:smallCaps/>
        </w:rPr>
        <w:t>Nagy</w:t>
      </w:r>
      <w:r>
        <w:rPr>
          <w:rFonts w:ascii="Times New Roman" w:hAnsi="Times New Roman" w:cs="Times New Roman"/>
        </w:rPr>
        <w:t xml:space="preserve"> Ildikó: Az Országház. In: </w:t>
      </w:r>
      <w:r>
        <w:rPr>
          <w:rFonts w:ascii="Times New Roman" w:hAnsi="Times New Roman" w:cs="Times New Roman"/>
          <w:i/>
        </w:rPr>
        <w:t>A magyar művészet a 19. században – Építészet és iparművészet</w:t>
      </w:r>
      <w:r>
        <w:rPr>
          <w:rFonts w:ascii="Times New Roman" w:hAnsi="Times New Roman" w:cs="Times New Roman"/>
        </w:rPr>
        <w:t>. Szerk.: Sisa József. MTA Bölcsészettudományi Kutatóközpont – Osiris, Budapest 2013. 605–613.</w:t>
      </w:r>
      <w:r>
        <w:rPr>
          <w:rFonts w:ascii="Times New Roman" w:eastAsia="Times New Roman" w:hAnsi="Times New Roman" w:cs="Times New Roman"/>
          <w:color w:val="000000"/>
        </w:rPr>
        <w:t xml:space="preserve"> ● </w:t>
      </w:r>
      <w:r>
        <w:rPr>
          <w:rFonts w:ascii="Times New Roman" w:hAnsi="Times New Roman" w:cs="Times New Roman"/>
          <w:smallCaps/>
        </w:rPr>
        <w:t>Megyeri-Pálffi</w:t>
      </w:r>
      <w:r>
        <w:rPr>
          <w:rFonts w:ascii="Times New Roman" w:hAnsi="Times New Roman" w:cs="Times New Roman"/>
        </w:rPr>
        <w:t xml:space="preserve"> Zoltán: Vármegyeházák a történeti Magyarországon az 1870-es közigazgatási reform után. In: Rajnai Zoltán; </w:t>
      </w:r>
      <w:proofErr w:type="spellStart"/>
      <w:r>
        <w:rPr>
          <w:rFonts w:ascii="Times New Roman" w:hAnsi="Times New Roman" w:cs="Times New Roman"/>
        </w:rPr>
        <w:t>Fregan</w:t>
      </w:r>
      <w:proofErr w:type="spellEnd"/>
      <w:r>
        <w:rPr>
          <w:rFonts w:ascii="Times New Roman" w:hAnsi="Times New Roman" w:cs="Times New Roman"/>
        </w:rPr>
        <w:t xml:space="preserve"> Beatrix; Marosné Kuna Zsuzsanna; Ozsváth Judit (szerk.) </w:t>
      </w:r>
      <w:r>
        <w:rPr>
          <w:rFonts w:ascii="Times New Roman" w:hAnsi="Times New Roman" w:cs="Times New Roman"/>
          <w:i/>
        </w:rPr>
        <w:t>Tanulmánykötet a 6. Báthory-Brassai nemzetközi konferencia előadásaiból</w:t>
      </w:r>
      <w:r>
        <w:rPr>
          <w:rFonts w:ascii="Times New Roman" w:hAnsi="Times New Roman" w:cs="Times New Roman"/>
        </w:rPr>
        <w:t xml:space="preserve">. Budapest, Óbudai Egyetem Biztonságtudományi Doktori Iskola, 2015.; </w:t>
      </w:r>
      <w:proofErr w:type="spellStart"/>
      <w:r>
        <w:rPr>
          <w:rFonts w:ascii="Times New Roman" w:hAnsi="Times New Roman" w:cs="Times New Roman"/>
          <w:smallCaps/>
        </w:rPr>
        <w:t>Petravich</w:t>
      </w:r>
      <w:proofErr w:type="spellEnd"/>
      <w:r>
        <w:rPr>
          <w:rFonts w:ascii="Times New Roman" w:hAnsi="Times New Roman" w:cs="Times New Roman"/>
        </w:rPr>
        <w:t xml:space="preserve"> András: Megyeházák. </w:t>
      </w:r>
      <w:proofErr w:type="spellStart"/>
      <w:r>
        <w:rPr>
          <w:rFonts w:ascii="Times New Roman" w:hAnsi="Times New Roman" w:cs="Times New Roman"/>
        </w:rPr>
        <w:t>Uő</w:t>
      </w:r>
      <w:proofErr w:type="spellEnd"/>
      <w:r>
        <w:rPr>
          <w:rFonts w:ascii="Times New Roman" w:hAnsi="Times New Roman" w:cs="Times New Roman"/>
        </w:rPr>
        <w:t xml:space="preserve">: Városházák. In: </w:t>
      </w:r>
      <w:r>
        <w:rPr>
          <w:rFonts w:ascii="Times New Roman" w:hAnsi="Times New Roman" w:cs="Times New Roman"/>
          <w:i/>
        </w:rPr>
        <w:t>Épülettípusok a kiegyezés utáni Magyarországon</w:t>
      </w:r>
      <w:r>
        <w:rPr>
          <w:rFonts w:ascii="Times New Roman" w:hAnsi="Times New Roman" w:cs="Times New Roman"/>
        </w:rPr>
        <w:t xml:space="preserve">. Szerk.: Császár László. Építésügyi Tájékoztatási Központ, Budapest 1995. 114–122. </w:t>
      </w:r>
      <w:r>
        <w:rPr>
          <w:rFonts w:ascii="Times New Roman" w:hAnsi="Times New Roman" w:cs="Times New Roman"/>
          <w:smallCaps/>
        </w:rPr>
        <w:t>Sisa</w:t>
      </w:r>
      <w:r>
        <w:rPr>
          <w:rFonts w:ascii="Times New Roman" w:hAnsi="Times New Roman" w:cs="Times New Roman"/>
        </w:rPr>
        <w:t xml:space="preserve"> József: Városházák és megyeházák. </w:t>
      </w:r>
      <w:r>
        <w:rPr>
          <w:rFonts w:ascii="Times New Roman" w:hAnsi="Times New Roman" w:cs="Times New Roman"/>
          <w:i/>
        </w:rPr>
        <w:t>In: A magyar művészet a 19. században – Építészet és iparművészet</w:t>
      </w:r>
      <w:r>
        <w:rPr>
          <w:rFonts w:ascii="Times New Roman" w:hAnsi="Times New Roman" w:cs="Times New Roman"/>
        </w:rPr>
        <w:t>. Szerk.: Sisa József. MTA Bölcsészettudományi Kutatóközpont – Osiris, Budapest 2013. Székely Márton–</w:t>
      </w:r>
      <w:proofErr w:type="spellStart"/>
      <w:r>
        <w:rPr>
          <w:rFonts w:ascii="Times New Roman" w:hAnsi="Times New Roman" w:cs="Times New Roman"/>
        </w:rPr>
        <w:t>Marótzy</w:t>
      </w:r>
      <w:proofErr w:type="spellEnd"/>
      <w:r>
        <w:rPr>
          <w:rFonts w:ascii="Times New Roman" w:hAnsi="Times New Roman" w:cs="Times New Roman"/>
        </w:rPr>
        <w:t xml:space="preserve"> Katalin: </w:t>
      </w:r>
      <w:r>
        <w:rPr>
          <w:rFonts w:ascii="Times New Roman" w:hAnsi="Times New Roman" w:cs="Times New Roman"/>
          <w:i/>
        </w:rPr>
        <w:t>Magyar közigazgatási épületek pályázatai a dualizmus korában, Építés – Építészettudomány</w:t>
      </w:r>
      <w:r>
        <w:rPr>
          <w:rFonts w:ascii="Times New Roman" w:hAnsi="Times New Roman" w:cs="Times New Roman"/>
        </w:rPr>
        <w:t xml:space="preserve"> DOI: 10.1556/096.2018.011</w:t>
      </w:r>
    </w:p>
    <w:p w14:paraId="3A30469F" w14:textId="77777777" w:rsidR="004A05F2" w:rsidRDefault="004A05F2" w:rsidP="00F6756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69120977" w14:textId="77777777" w:rsidR="004A05F2" w:rsidRDefault="004A05F2" w:rsidP="004A05F2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213E9" w14:textId="77777777" w:rsidR="004A05F2" w:rsidRDefault="004A05F2" w:rsidP="004A05F2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5FC59" w14:textId="77777777" w:rsidR="00916578" w:rsidRDefault="00916578"/>
    <w:sectPr w:rsidR="0091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98C"/>
    <w:multiLevelType w:val="hybridMultilevel"/>
    <w:tmpl w:val="F9FA7198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F2"/>
    <w:rsid w:val="00256885"/>
    <w:rsid w:val="004A05F2"/>
    <w:rsid w:val="00916578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6594C"/>
  <w15:chartTrackingRefBased/>
  <w15:docId w15:val="{8C6C64B0-3012-4C76-8744-3DCC991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5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5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05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5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19450" TargetMode="External"/><Relationship Id="rId13" Type="http://schemas.openxmlformats.org/officeDocument/2006/relationships/hyperlink" Target="https://m2.mtmt.hu/gui2/?mode=browse&amp;params=publication;33776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0732801" TargetMode="External"/><Relationship Id="rId12" Type="http://schemas.openxmlformats.org/officeDocument/2006/relationships/hyperlink" Target="https://m2.mtmt.hu/gui2/?type=authors&amp;mode=browse&amp;sel=100194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rliament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2.mtmt.hu/gui2/?mode=browse&amp;params=publication;30733018" TargetMode="External"/><Relationship Id="rId11" Type="http://schemas.openxmlformats.org/officeDocument/2006/relationships/hyperlink" Target="https://m2.mtmt.hu/gui2/?mode=browse&amp;params=publication;3411236" TargetMode="External"/><Relationship Id="rId5" Type="http://schemas.openxmlformats.org/officeDocument/2006/relationships/hyperlink" Target="https://m2.mtmt.hu/gui2/?mode=browse&amp;params=publication;30733024" TargetMode="External"/><Relationship Id="rId15" Type="http://schemas.openxmlformats.org/officeDocument/2006/relationships/hyperlink" Target="https://m2.mtmt.hu/gui2/?mode=browse&amp;params=publication;3056269" TargetMode="External"/><Relationship Id="rId10" Type="http://schemas.openxmlformats.org/officeDocument/2006/relationships/hyperlink" Target="https://m2.mtmt.hu/gui2/?type=authors&amp;mode=browse&amp;sel=10019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414639" TargetMode="External"/><Relationship Id="rId14" Type="http://schemas.openxmlformats.org/officeDocument/2006/relationships/hyperlink" Target="https://m2.mtmt.hu/gui2/?type=authors&amp;mode=browse&amp;sel=1001945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 Zsófia</dc:creator>
  <cp:keywords/>
  <dc:description/>
  <cp:lastModifiedBy>Dr. Gosztonyi Gergely</cp:lastModifiedBy>
  <cp:revision>3</cp:revision>
  <dcterms:created xsi:type="dcterms:W3CDTF">2021-02-16T15:34:00Z</dcterms:created>
  <dcterms:modified xsi:type="dcterms:W3CDTF">2021-02-18T21:03:00Z</dcterms:modified>
</cp:coreProperties>
</file>