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3C38" w14:textId="5CE039A7" w:rsidR="00EC6AC1" w:rsidRPr="00CD56DC" w:rsidRDefault="00EC6AC1" w:rsidP="00CD56DC">
      <w:pPr>
        <w:jc w:val="center"/>
        <w:rPr>
          <w:rFonts w:cs="Times New Roman"/>
          <w:b/>
          <w:szCs w:val="24"/>
        </w:rPr>
      </w:pPr>
      <w:r w:rsidRPr="00CD56DC">
        <w:rPr>
          <w:rFonts w:cs="Times New Roman"/>
          <w:b/>
          <w:szCs w:val="24"/>
        </w:rPr>
        <w:t>Hazai konferenciákon való részvétel</w:t>
      </w:r>
      <w:r w:rsidR="003A3AA7" w:rsidRPr="00CD56DC">
        <w:rPr>
          <w:rFonts w:cs="Times New Roman"/>
          <w:b/>
          <w:szCs w:val="24"/>
        </w:rPr>
        <w:t xml:space="preserve"> 201</w:t>
      </w:r>
      <w:r w:rsidR="00E73503" w:rsidRPr="00CD56DC">
        <w:rPr>
          <w:rFonts w:cs="Times New Roman"/>
          <w:b/>
          <w:szCs w:val="24"/>
        </w:rPr>
        <w:t>9</w:t>
      </w:r>
    </w:p>
    <w:p w14:paraId="4C953C76" w14:textId="77777777" w:rsidR="00EC6AC1" w:rsidRPr="00CD56DC" w:rsidRDefault="00EC6AC1" w:rsidP="00CD56DC">
      <w:pPr>
        <w:pStyle w:val="ListParagraph"/>
        <w:ind w:left="1830"/>
        <w:jc w:val="center"/>
        <w:rPr>
          <w:rFonts w:cs="Times New Roman"/>
          <w:b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10"/>
        <w:gridCol w:w="6208"/>
        <w:gridCol w:w="3255"/>
      </w:tblGrid>
      <w:tr w:rsidR="00CD56DC" w:rsidRPr="00CD56DC" w14:paraId="630DF379" w14:textId="77777777" w:rsidTr="00E57C2C">
        <w:trPr>
          <w:jc w:val="right"/>
        </w:trPr>
        <w:tc>
          <w:tcPr>
            <w:tcW w:w="758" w:type="pct"/>
            <w:vAlign w:val="center"/>
          </w:tcPr>
          <w:p w14:paraId="143D481F" w14:textId="77777777" w:rsidR="00E57C2C" w:rsidRPr="00CD56DC" w:rsidRDefault="00E57C2C" w:rsidP="00CD56DC">
            <w:pPr>
              <w:jc w:val="center"/>
              <w:rPr>
                <w:rFonts w:cs="Times New Roman"/>
                <w:b/>
                <w:szCs w:val="24"/>
              </w:rPr>
            </w:pPr>
            <w:r w:rsidRPr="00CD56DC">
              <w:rPr>
                <w:rFonts w:cs="Times New Roman"/>
                <w:b/>
                <w:szCs w:val="24"/>
              </w:rPr>
              <w:t>időpont</w:t>
            </w:r>
          </w:p>
        </w:tc>
        <w:tc>
          <w:tcPr>
            <w:tcW w:w="861" w:type="pct"/>
            <w:vAlign w:val="center"/>
          </w:tcPr>
          <w:p w14:paraId="0E048B28" w14:textId="77777777" w:rsidR="00E57C2C" w:rsidRPr="00CD56DC" w:rsidRDefault="00E57C2C" w:rsidP="00CD56DC">
            <w:pPr>
              <w:jc w:val="center"/>
              <w:rPr>
                <w:rFonts w:cs="Times New Roman"/>
                <w:b/>
                <w:szCs w:val="24"/>
              </w:rPr>
            </w:pPr>
            <w:r w:rsidRPr="00CD56DC">
              <w:rPr>
                <w:rFonts w:cs="Times New Roman"/>
                <w:b/>
                <w:szCs w:val="24"/>
              </w:rPr>
              <w:t>előadó</w:t>
            </w:r>
          </w:p>
        </w:tc>
        <w:tc>
          <w:tcPr>
            <w:tcW w:w="2218" w:type="pct"/>
            <w:vAlign w:val="center"/>
          </w:tcPr>
          <w:p w14:paraId="5F5B325B" w14:textId="77777777" w:rsidR="00E57C2C" w:rsidRPr="00CD56DC" w:rsidRDefault="00E57C2C" w:rsidP="00CD56DC">
            <w:pPr>
              <w:jc w:val="center"/>
              <w:rPr>
                <w:rFonts w:cs="Times New Roman"/>
                <w:b/>
                <w:szCs w:val="24"/>
              </w:rPr>
            </w:pPr>
            <w:r w:rsidRPr="00CD56DC">
              <w:rPr>
                <w:rFonts w:cs="Times New Roman"/>
                <w:b/>
                <w:szCs w:val="24"/>
              </w:rPr>
              <w:t>előadás címe</w:t>
            </w:r>
          </w:p>
        </w:tc>
        <w:tc>
          <w:tcPr>
            <w:tcW w:w="1163" w:type="pct"/>
            <w:vAlign w:val="center"/>
          </w:tcPr>
          <w:p w14:paraId="48A7A912" w14:textId="77777777" w:rsidR="00E57C2C" w:rsidRPr="00CD56DC" w:rsidRDefault="00E57C2C" w:rsidP="00CD56DC">
            <w:pPr>
              <w:jc w:val="center"/>
              <w:rPr>
                <w:rFonts w:cs="Times New Roman"/>
                <w:b/>
                <w:szCs w:val="24"/>
              </w:rPr>
            </w:pPr>
            <w:r w:rsidRPr="00CD56DC">
              <w:rPr>
                <w:rFonts w:cs="Times New Roman"/>
                <w:b/>
                <w:szCs w:val="24"/>
              </w:rPr>
              <w:t>konferencia címe</w:t>
            </w:r>
          </w:p>
        </w:tc>
      </w:tr>
      <w:tr w:rsidR="00CD56DC" w:rsidRPr="00CD56DC" w14:paraId="55F86F0B" w14:textId="77777777" w:rsidTr="00E57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44A" w14:textId="061F6A42" w:rsidR="00E57C2C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február </w:t>
            </w:r>
            <w:r w:rsidR="00881BC6" w:rsidRPr="00CD56DC">
              <w:rPr>
                <w:rFonts w:cs="Times New Roman"/>
                <w:szCs w:val="24"/>
              </w:rPr>
              <w:t>0</w:t>
            </w:r>
            <w:r w:rsidRPr="00CD56DC">
              <w:rPr>
                <w:rFonts w:cs="Times New Roman"/>
                <w:szCs w:val="24"/>
              </w:rPr>
              <w:t>7</w:t>
            </w:r>
            <w:r w:rsidR="00881BC6" w:rsidRPr="00CD56DC">
              <w:rPr>
                <w:rFonts w:cs="Times New Roman"/>
                <w:szCs w:val="24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3F8" w14:textId="77777777" w:rsidR="00E57C2C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02D" w14:textId="77777777" w:rsidR="00E57C2C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polgári peres eljárás kodifikációjának első fejezete – Az oktrojált normától a kodifikációig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439" w14:textId="44008487" w:rsidR="00E57C2C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emlékezés erejével. Bíróságtörténeti konferenciakörút. – Az 1868. évi LIV / Az Országo</w:t>
            </w:r>
            <w:r w:rsidR="00881BC6" w:rsidRPr="00CD56DC">
              <w:rPr>
                <w:rFonts w:cs="Times New Roman"/>
                <w:szCs w:val="24"/>
              </w:rPr>
              <w:t>s</w:t>
            </w:r>
            <w:r w:rsidRPr="00CD56DC">
              <w:rPr>
                <w:rFonts w:cs="Times New Roman"/>
                <w:szCs w:val="24"/>
              </w:rPr>
              <w:t xml:space="preserve"> Bírósági Hivatal</w:t>
            </w:r>
            <w:r w:rsidR="00881BC6" w:rsidRPr="00CD56DC">
              <w:rPr>
                <w:rFonts w:cs="Times New Roman"/>
                <w:szCs w:val="24"/>
              </w:rPr>
              <w:t xml:space="preserve"> </w:t>
            </w:r>
            <w:r w:rsidRPr="00CD56DC">
              <w:rPr>
                <w:rFonts w:cs="Times New Roman"/>
                <w:szCs w:val="24"/>
              </w:rPr>
              <w:t>és a Győri Ítélőtábla</w:t>
            </w:r>
          </w:p>
          <w:p w14:paraId="6AA4F92F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Győr</w:t>
            </w:r>
          </w:p>
        </w:tc>
      </w:tr>
      <w:tr w:rsidR="00CD56DC" w:rsidRPr="00CD56DC" w14:paraId="1D8F9BA8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336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február 12.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CC4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5A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Ezer év fordulópontjai a hazai börtönügy történetében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ACC" w14:textId="2200AC86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Szent Adorján Millen</w:t>
            </w:r>
            <w:r w:rsidR="00881BC6" w:rsidRPr="00CD56DC">
              <w:rPr>
                <w:rFonts w:cs="Times New Roman"/>
                <w:szCs w:val="24"/>
              </w:rPr>
              <w:t>e</w:t>
            </w:r>
            <w:r w:rsidRPr="00CD56DC">
              <w:rPr>
                <w:rFonts w:cs="Times New Roman"/>
                <w:szCs w:val="24"/>
              </w:rPr>
              <w:t>umi Emlékév / Büntetés-Végrehajtás Országos Parancsnoksága – Magyar Börtönügyi Társaság</w:t>
            </w:r>
          </w:p>
          <w:p w14:paraId="1E00BE42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6233A3A4" w14:textId="77777777" w:rsidTr="005A7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FEB" w14:textId="7E3C22F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 xml:space="preserve">2019. április </w:t>
            </w:r>
            <w:r w:rsidR="00881BC6" w:rsidRPr="00CD56DC">
              <w:rPr>
                <w:rFonts w:eastAsia="Times New Roman" w:cs="Times New Roman"/>
                <w:szCs w:val="24"/>
                <w:lang w:eastAsia="hu-HU"/>
              </w:rPr>
              <w:t>0</w:t>
            </w:r>
            <w:r w:rsidRPr="00CD56DC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393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A01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1869. évi 4.tc. hatása a magyar börtönügy profiljára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58C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150 éves az 1869. évi IV. törvénycikk” / Nemzeti Közszolgálati Egyetem Budapest</w:t>
            </w:r>
          </w:p>
        </w:tc>
      </w:tr>
      <w:tr w:rsidR="00CD56DC" w:rsidRPr="00CD56DC" w14:paraId="71F75180" w14:textId="77777777" w:rsidTr="005A7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A4DD" w14:textId="64165863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május </w:t>
            </w:r>
            <w:r w:rsidR="00881BC6" w:rsidRPr="00CD56DC">
              <w:rPr>
                <w:rFonts w:cs="Times New Roman"/>
                <w:szCs w:val="24"/>
              </w:rPr>
              <w:t>0</w:t>
            </w:r>
            <w:r w:rsidRPr="00CD56DC">
              <w:rPr>
                <w:rFonts w:cs="Times New Roman"/>
                <w:szCs w:val="24"/>
              </w:rPr>
              <w:t>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DC4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F3B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Rabsegélyezés, patronázs, pártfogó felügyelet. Megnyitó előadás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AE8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„5 éves a büntetés-végrehajtási pártfogás/ r. Magyar Börtönügyi Társaság</w:t>
            </w:r>
          </w:p>
          <w:p w14:paraId="0B0FA345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72552E17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79F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 szeptember 14.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CCC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661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Büntetőjogi tudományosság, európai hatások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59AB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jog szuverenitása” elméleti alapvetés, tudományos dimenzió, interdiszciplináris beágyazódás / MTA/ELTE Jogtörténeti kutatócsoport</w:t>
            </w:r>
          </w:p>
          <w:p w14:paraId="0B41B1F8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10C62EFA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0EA2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471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9DB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C221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D56DC" w:rsidRPr="00CD56DC" w14:paraId="7B572AD6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F22" w14:textId="4849B524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lastRenderedPageBreak/>
              <w:t>2019. szeptember 19-20</w:t>
            </w:r>
            <w:r w:rsidR="00881BC6" w:rsidRPr="00CD56DC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BAD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AE6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1869. évi IV. tc. alkotmányos környezete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053C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The Conference on the 150th Anniversary of Act IV of 1869 on Judical Career / Országos Bírósági Hivatal</w:t>
            </w:r>
          </w:p>
          <w:p w14:paraId="087493CF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7BAA3E64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E40" w14:textId="77777777" w:rsidR="00DC189B" w:rsidRPr="00CD56DC" w:rsidRDefault="00DC189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szeptember 25.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C67E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00F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Népi jogélet és a hatalom joga. A néprajztudomány és a jogtudomány találkozási metszetei.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9CF" w14:textId="2110AE4F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Ünnepi konferencia a Magyar Néprajzi Társaság alapításának 130. évfordulója alkalmából / Magyar Néprajzi Társaság</w:t>
            </w:r>
          </w:p>
          <w:p w14:paraId="23AE9581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6FA56462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7BF0" w14:textId="77777777" w:rsidR="00DC189B" w:rsidRPr="00CD56DC" w:rsidRDefault="00DC189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november 13-15.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889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B25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magyar büntető törvénykönyv büntető rendszere és a 2106/1880. IM E. számú rendelet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04E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IX. Szegedi Jogtörténeti Napok / Szegedi Tudományegyetem, Állam- és Jogtudományi Kar, Magyar Állam-és Jogtörténeti Tanszék</w:t>
            </w:r>
          </w:p>
          <w:p w14:paraId="7BEDDF88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Szeged</w:t>
            </w:r>
          </w:p>
        </w:tc>
      </w:tr>
      <w:tr w:rsidR="00CD56DC" w:rsidRPr="00CD56DC" w14:paraId="7BB6E609" w14:textId="77777777" w:rsidTr="004C6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6BC" w14:textId="77777777" w:rsidR="00DC189B" w:rsidRPr="00CD56DC" w:rsidRDefault="00DC189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november 26.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79C2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1E8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börtönügyi igazgatás kérdése a bírói és végrehajtó hatalom elválasztásának tükrében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19FE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Bírói hatalom és közigazgatás Magyarországon a dualizmus idején / Magyar Nemzeti Levéltár Országos Levéltára</w:t>
            </w:r>
          </w:p>
          <w:p w14:paraId="5783F0BA" w14:textId="77777777" w:rsidR="00DC189B" w:rsidRPr="00CD56DC" w:rsidRDefault="00DC189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Budapest</w:t>
            </w:r>
          </w:p>
        </w:tc>
      </w:tr>
      <w:tr w:rsidR="00CD56DC" w:rsidRPr="00CD56DC" w14:paraId="31DD33EB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8A3" w14:textId="77777777" w:rsidR="004C6A7B" w:rsidRPr="00CD56DC" w:rsidRDefault="004C6A7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november 27.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84F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965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magyar börtönügyi tudományosság értékei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AAB5" w14:textId="2803FBDE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A börtönügyi tudományosság </w:t>
            </w:r>
            <w:r w:rsidR="00516FE9" w:rsidRPr="00CD56DC">
              <w:rPr>
                <w:rFonts w:cs="Times New Roman"/>
                <w:szCs w:val="24"/>
              </w:rPr>
              <w:t>–</w:t>
            </w:r>
            <w:r w:rsidRPr="00CD56DC">
              <w:rPr>
                <w:rFonts w:cs="Times New Roman"/>
                <w:szCs w:val="24"/>
              </w:rPr>
              <w:t>Értékteremtő tudomány. A büntető jogtudományok emberi és tudományos értékeket védő szerepével kapcsolatos időszerű kérdésekről / Országos Kriminológiai Intézet/ MTA IX. osztály, Állam-és Jogtudományi Bizottság, Büntetésvégrehajtási Albizottság</w:t>
            </w:r>
          </w:p>
          <w:p w14:paraId="50CBB4A0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lastRenderedPageBreak/>
              <w:t>Budapest</w:t>
            </w:r>
          </w:p>
        </w:tc>
      </w:tr>
      <w:tr w:rsidR="00CD56DC" w:rsidRPr="00CD56DC" w14:paraId="38D8A707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9764" w14:textId="77777777" w:rsidR="004C6A7B" w:rsidRPr="00CD56DC" w:rsidRDefault="004C6A7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lastRenderedPageBreak/>
              <w:t>2019. november 28-29.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2B7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07A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jogi kultúrtörténet és a büntetőjog szimbolikája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26D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„A jog kulturális holdudvara” - Kajtár István emlékkonferencia /. Az MTA Pécsi Akadémiai Bizottság Gazdaság-és Jogtudományok Szakbizottság Jogdogmatikai és Jogtörténeti Munkabizottsága / az MTA Sezegedi Akadémiai Bizottság Jogtudományi Szabkizottsága / a Tárkány-Szűcs Ernő Kultúrtörténeti és Jogi Néprajzi Kutatócsoport (PTE KPVK)</w:t>
            </w:r>
          </w:p>
          <w:p w14:paraId="77920BB9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Pécs</w:t>
            </w:r>
          </w:p>
        </w:tc>
      </w:tr>
      <w:tr w:rsidR="00CD56DC" w:rsidRPr="00CD56DC" w14:paraId="06F77993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83E5" w14:textId="77777777" w:rsidR="004C6A7B" w:rsidRPr="00CD56DC" w:rsidRDefault="004C6A7B" w:rsidP="00CD56D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D56DC">
              <w:rPr>
                <w:rFonts w:eastAsia="Times New Roman" w:cs="Times New Roman"/>
                <w:szCs w:val="24"/>
                <w:lang w:eastAsia="hu-HU"/>
              </w:rPr>
              <w:t>2019. december 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58E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Mezey Barna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9881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jogi felsőoktatás kezdetei; jogászképzés az egyetemeken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3E04" w14:textId="17FBE318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Egri Érseki Jogakadémia megszűnésének 70. évfordulója alkalmából „A jogakadémiai és egyetemi jogászképzés rövid története” jogásznap / Magyar Jogász Egylet Heves Megyei Szervezete</w:t>
            </w:r>
          </w:p>
          <w:p w14:paraId="0FBDFF4A" w14:textId="77777777" w:rsidR="004C6A7B" w:rsidRPr="00CD56DC" w:rsidRDefault="004C6A7B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Eger</w:t>
            </w:r>
          </w:p>
        </w:tc>
      </w:tr>
      <w:tr w:rsidR="00CD56DC" w:rsidRPr="00CD56DC" w14:paraId="7BF6A46A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F72" w14:textId="77777777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április </w:t>
            </w:r>
            <w:r w:rsidR="004C6A7B" w:rsidRPr="00CD56DC">
              <w:rPr>
                <w:rFonts w:cs="Times New Roman"/>
                <w:szCs w:val="24"/>
              </w:rPr>
              <w:t>04.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BF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CED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„Adj a bírónak aranyat, tied az igazság.” A bírók anyagi függetlensége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F68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Nemzeti Közszolgálati Egyetem / 150 éves az 1869. évi IV. tc.</w:t>
            </w:r>
          </w:p>
        </w:tc>
      </w:tr>
      <w:tr w:rsidR="00CD56DC" w:rsidRPr="00CD56DC" w14:paraId="775E2C5C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C54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április </w:t>
            </w:r>
            <w:r w:rsidRPr="00CD56DC">
              <w:rPr>
                <w:rFonts w:cs="Times New Roman"/>
                <w:szCs w:val="24"/>
              </w:rPr>
              <w:t>24.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C3E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E550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1869. évi IV. törvény megalkotásáról és jelentőségéről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02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Kúria – Magyar Országgyűlés / A bírói hatalom gyakorlásáról szóló 1869. évi IV. törvény megalkotásának 150. évfordulója</w:t>
            </w:r>
          </w:p>
        </w:tc>
      </w:tr>
      <w:tr w:rsidR="00CD56DC" w:rsidRPr="00CD56DC" w14:paraId="57ADDFE1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CC37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17F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DD4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F35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CD56DC" w:rsidRPr="00CD56DC" w14:paraId="0B44B362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DC1" w14:textId="3543D3C1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lastRenderedPageBreak/>
              <w:t>2019. július</w:t>
            </w:r>
            <w:r w:rsidR="00881BC6" w:rsidRPr="00CD56DC">
              <w:rPr>
                <w:rFonts w:cs="Times New Roman"/>
                <w:szCs w:val="24"/>
              </w:rPr>
              <w:t xml:space="preserve"> </w:t>
            </w:r>
            <w:r w:rsidR="004C6A7B" w:rsidRPr="00CD56DC">
              <w:rPr>
                <w:rFonts w:cs="Times New Roman"/>
                <w:szCs w:val="24"/>
              </w:rPr>
              <w:t>08.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7FB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457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Bíró és műgyűjtő. Ráth György élete és munkássága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6B1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Fővárosi Ítélőtábla / Fővárosi Törvényszék / „Az emlékezés erejével..”. Bíróságtörténeti konferencia</w:t>
            </w:r>
          </w:p>
        </w:tc>
      </w:tr>
      <w:tr w:rsidR="00CD56DC" w:rsidRPr="00CD56DC" w14:paraId="7335E0D5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C79" w14:textId="77777777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szeptember </w:t>
            </w:r>
            <w:r w:rsidR="004C6A7B" w:rsidRPr="00CD56DC">
              <w:rPr>
                <w:rFonts w:cs="Times New Roman"/>
                <w:szCs w:val="24"/>
              </w:rPr>
              <w:t>06.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ECD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714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bírói tekintély szimbóluma. A bírói talár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F47A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Gyulai Törvényszék / Részletek az ítélkezési tevékenység történetéből, különös tekintettel a Békés megyei vonatkozásokra</w:t>
            </w:r>
          </w:p>
        </w:tc>
      </w:tr>
      <w:tr w:rsidR="00CD56DC" w:rsidRPr="00CD56DC" w14:paraId="42F400FD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699" w14:textId="77777777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november </w:t>
            </w:r>
            <w:r w:rsidR="004C6A7B" w:rsidRPr="00CD56DC">
              <w:rPr>
                <w:rFonts w:cs="Times New Roman"/>
                <w:szCs w:val="24"/>
              </w:rPr>
              <w:t>08.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91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46C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jogszolgáltatás története Hajdúszoboszlón (könyvbemutató)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E93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Debreceni Törvényszék / Hajdúszoboszlói Járásbíróság / A jogszolgáltatás története Hajdúszoboszlón</w:t>
            </w:r>
          </w:p>
        </w:tc>
      </w:tr>
      <w:tr w:rsidR="00CD56DC" w:rsidRPr="00CD56DC" w14:paraId="4FF11876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BD9B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november </w:t>
            </w:r>
            <w:r w:rsidRPr="00CD56DC">
              <w:rPr>
                <w:rFonts w:cs="Times New Roman"/>
                <w:szCs w:val="24"/>
              </w:rPr>
              <w:t>13.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907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95"/>
            </w:tblGrid>
            <w:tr w:rsidR="00CD56DC" w:rsidRPr="00CD56DC" w14:paraId="25E76231" w14:textId="77777777" w:rsidTr="005A756E">
              <w:trPr>
                <w:tblCellSpacing w:w="15" w:type="dxa"/>
              </w:trPr>
              <w:tc>
                <w:tcPr>
                  <w:tcW w:w="3742" w:type="dxa"/>
                  <w:vAlign w:val="center"/>
                  <w:hideMark/>
                </w:tcPr>
                <w:p w14:paraId="13AB1398" w14:textId="77777777" w:rsidR="004C6A7B" w:rsidRPr="00CD56DC" w:rsidRDefault="004C6A7B" w:rsidP="00CD56DC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CD56DC">
                    <w:rPr>
                      <w:rFonts w:eastAsia="Times New Roman" w:cs="Times New Roman"/>
                      <w:szCs w:val="24"/>
                      <w:lang w:eastAsia="hu-HU"/>
                    </w:rPr>
                    <w:t>A bírói fegyelmi felelősség Ausztriában és Magyarországon a XIX. század második felében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1B5DBA" w14:textId="77777777" w:rsidR="004C6A7B" w:rsidRPr="00CD56DC" w:rsidRDefault="004C6A7B" w:rsidP="00CD56DC">
                  <w:pPr>
                    <w:jc w:val="center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14:paraId="38AEBF6D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95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SZTE ÁJK Magyar Jogtörténeti Tanszék / MTA Szegedi Akadémiai Bizottság Jogtudományi Szakbizottsága / IX. Szegedi Jogtörténeti Napok</w:t>
            </w:r>
          </w:p>
        </w:tc>
      </w:tr>
      <w:tr w:rsidR="00CD56DC" w:rsidRPr="00CD56DC" w14:paraId="3C236365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0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november </w:t>
            </w:r>
            <w:r w:rsidRPr="00CD56DC">
              <w:rPr>
                <w:rFonts w:cs="Times New Roman"/>
                <w:szCs w:val="24"/>
              </w:rPr>
              <w:t>21.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A72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216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„A sérthetetlen palást oltalma alatt.” Bíró a tárgyalóteremben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21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Kecskeméti Törvényszék / Consilium Peritorum Localis</w:t>
            </w:r>
          </w:p>
        </w:tc>
      </w:tr>
      <w:tr w:rsidR="00CD56DC" w:rsidRPr="00CD56DC" w14:paraId="35C186BA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58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november </w:t>
            </w:r>
            <w:r w:rsidRPr="00CD56DC">
              <w:rPr>
                <w:rFonts w:cs="Times New Roman"/>
                <w:szCs w:val="24"/>
              </w:rPr>
              <w:t>26.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243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11A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„A bíró tisztessége felelősségétől függ.” A bírói felelősség szabályozása a kiegyezést követő években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758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MNL Országos Levéltára / Bírói hatalom és közigazgatás Magyarországon a dualizmus idején</w:t>
            </w:r>
          </w:p>
        </w:tc>
      </w:tr>
      <w:tr w:rsidR="004C6A7B" w:rsidRPr="00CD56DC" w14:paraId="687FA12E" w14:textId="77777777" w:rsidTr="00DC1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A68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november </w:t>
            </w:r>
            <w:r w:rsidRPr="00CD56DC">
              <w:rPr>
                <w:rFonts w:cs="Times New Roman"/>
                <w:szCs w:val="24"/>
              </w:rPr>
              <w:t>29.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3A5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Bódiné Beliznai Kinga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CEF2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„Szegény a koldus, ha király is neve.” Koldulás és bírói gyakorlat a Kbtk. tükrében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0C2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NKE Államtudományi és Nemzetközi Tanulmányok Kar / 140 éves a kihágási büntetőtörvénykönyv</w:t>
            </w:r>
          </w:p>
        </w:tc>
      </w:tr>
    </w:tbl>
    <w:p w14:paraId="0357418C" w14:textId="77777777" w:rsidR="00DC189B" w:rsidRPr="00CD56DC" w:rsidRDefault="00DC189B" w:rsidP="00CD56DC">
      <w:pPr>
        <w:jc w:val="center"/>
        <w:rPr>
          <w:rFonts w:cs="Times New Roman"/>
          <w:szCs w:val="24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121"/>
        <w:gridCol w:w="2410"/>
        <w:gridCol w:w="6208"/>
        <w:gridCol w:w="3255"/>
      </w:tblGrid>
      <w:tr w:rsidR="00CD56DC" w:rsidRPr="00CD56DC" w14:paraId="43F6C60A" w14:textId="77777777" w:rsidTr="005A756E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578C" w14:textId="77777777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lastRenderedPageBreak/>
              <w:t xml:space="preserve">2019. május </w:t>
            </w:r>
            <w:r w:rsidR="004C6A7B" w:rsidRPr="00CD56DC">
              <w:rPr>
                <w:rFonts w:cs="Times New Roman"/>
                <w:szCs w:val="24"/>
              </w:rPr>
              <w:t>02.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ED7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9D93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The Name of the Game: The Hungarian Parliament and Its Historical Names</w:t>
            </w:r>
          </w:p>
          <w:p w14:paraId="75E4F554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(angol nyelven)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684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Legislatures and Laws in Europe. Conference on the ”Day of Parliamentarism”</w:t>
            </w:r>
          </w:p>
          <w:p w14:paraId="242F41A9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(MTA TK, Budapest, 2019. május 2.)</w:t>
            </w:r>
          </w:p>
        </w:tc>
      </w:tr>
      <w:tr w:rsidR="00CD56DC" w:rsidRPr="00CD56DC" w14:paraId="6ACD2BDF" w14:textId="77777777" w:rsidTr="00DC189B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8B5" w14:textId="77777777" w:rsidR="004C6A7B" w:rsidRPr="00CD56DC" w:rsidRDefault="00722123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október </w:t>
            </w:r>
            <w:r w:rsidR="004C6A7B" w:rsidRPr="00CD56DC">
              <w:rPr>
                <w:rFonts w:cs="Times New Roman"/>
                <w:szCs w:val="24"/>
              </w:rPr>
              <w:t>16.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781B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 György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37E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Az 1814–1905 közötti svéd–norvég unió, különös tekintettel a közös külügyekre</w:t>
            </w:r>
          </w:p>
          <w:p w14:paraId="7A8150E3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(magyar nyelven)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5AE" w14:textId="3577AACB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MTA–ELTE Jogtörténeti Kutatócsoport munkaértekezlete</w:t>
            </w:r>
          </w:p>
          <w:p w14:paraId="4B2BCFBC" w14:textId="77777777" w:rsidR="004C6A7B" w:rsidRPr="00CD56DC" w:rsidRDefault="004C6A7B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(ELTE ÁJK, Budapest, 2019. október 16.)</w:t>
            </w:r>
          </w:p>
        </w:tc>
      </w:tr>
      <w:tr w:rsidR="00CD56DC" w:rsidRPr="00CD56DC" w14:paraId="7E56195F" w14:textId="77777777" w:rsidTr="005A756E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09C8" w14:textId="77777777" w:rsidR="00E376BD" w:rsidRPr="00CD56DC" w:rsidRDefault="00722123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március </w:t>
            </w:r>
            <w:r w:rsidR="00E376BD" w:rsidRPr="00CD56DC">
              <w:rPr>
                <w:rFonts w:cs="Times New Roman"/>
                <w:szCs w:val="24"/>
              </w:rPr>
              <w:t>28</w:t>
            </w:r>
            <w:r w:rsidRPr="00CD56DC">
              <w:rPr>
                <w:rFonts w:cs="Times New Roman"/>
                <w:szCs w:val="24"/>
              </w:rPr>
              <w:t>.</w:t>
            </w:r>
          </w:p>
          <w:p w14:paraId="34EB1D44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ADA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C2C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közösségi média jogi szabályozásának múltja és jövőbeli problémái</w:t>
            </w:r>
          </w:p>
          <w:p w14:paraId="58C108B1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5DCC" w14:textId="1FB82A8F" w:rsidR="00E376BD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Miskolci Egyetem Állam- és Jogtudományi Kar</w:t>
            </w:r>
            <w:r>
              <w:rPr>
                <w:rFonts w:cs="Times New Roman"/>
                <w:szCs w:val="24"/>
              </w:rPr>
              <w:t xml:space="preserve"> (Miskolc)</w:t>
            </w:r>
          </w:p>
        </w:tc>
      </w:tr>
      <w:tr w:rsidR="00560005" w:rsidRPr="00CD56DC" w14:paraId="51F3674C" w14:textId="77777777" w:rsidTr="00E376BD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5C27" w14:textId="1916A414" w:rsidR="00560005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2019. szeptember 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A30" w14:textId="75A73C84" w:rsidR="00560005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AFE" w14:textId="31BAACB1" w:rsidR="00560005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Média és jog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7E05" w14:textId="46E212E2" w:rsidR="00560005" w:rsidRPr="00560005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Eötvös Loránd Tudományegyetem Állam- és Jogtudományi Kar</w:t>
            </w:r>
            <w:r>
              <w:rPr>
                <w:rFonts w:cs="Times New Roman"/>
                <w:szCs w:val="24"/>
              </w:rPr>
              <w:t xml:space="preserve"> (Budapest)</w:t>
            </w:r>
          </w:p>
        </w:tc>
      </w:tr>
      <w:tr w:rsidR="00CD56DC" w:rsidRPr="00CD56DC" w14:paraId="6CB7E964" w14:textId="77777777" w:rsidTr="00E376BD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BA2" w14:textId="77777777" w:rsidR="00E376BD" w:rsidRPr="00CD56DC" w:rsidRDefault="00722123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 xml:space="preserve">2019. szeptember </w:t>
            </w:r>
            <w:r w:rsidR="00E376BD" w:rsidRPr="00CD56DC">
              <w:rPr>
                <w:rFonts w:cs="Times New Roman"/>
                <w:szCs w:val="24"/>
              </w:rPr>
              <w:t>11</w:t>
            </w:r>
            <w:r w:rsidRPr="00CD56DC">
              <w:rPr>
                <w:rFonts w:cs="Times New Roman"/>
                <w:szCs w:val="24"/>
              </w:rPr>
              <w:t>.</w:t>
            </w:r>
          </w:p>
          <w:p w14:paraId="477065E7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918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0FF4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How intermediaries’ liability is related to censorship?</w:t>
            </w:r>
          </w:p>
          <w:p w14:paraId="3851F35C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3AB" w14:textId="32C2EF14" w:rsidR="00E376BD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EU-COMPACT Project</w:t>
            </w:r>
            <w:r>
              <w:rPr>
                <w:rFonts w:cs="Times New Roman"/>
                <w:szCs w:val="24"/>
              </w:rPr>
              <w:t xml:space="preserve"> (Budapest)</w:t>
            </w:r>
          </w:p>
        </w:tc>
      </w:tr>
      <w:tr w:rsidR="00CD56DC" w:rsidRPr="00CD56DC" w14:paraId="02E04F27" w14:textId="77777777" w:rsidTr="00E376BD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C19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</w:t>
            </w:r>
            <w:r w:rsidR="00722123" w:rsidRPr="00CD56DC">
              <w:rPr>
                <w:rFonts w:cs="Times New Roman"/>
                <w:szCs w:val="24"/>
              </w:rPr>
              <w:t xml:space="preserve"> szeptember </w:t>
            </w:r>
            <w:r w:rsidRPr="00CD56DC">
              <w:rPr>
                <w:rFonts w:cs="Times New Roman"/>
                <w:szCs w:val="24"/>
              </w:rPr>
              <w:t>12</w:t>
            </w:r>
            <w:r w:rsidR="00722123" w:rsidRPr="00CD56DC">
              <w:rPr>
                <w:rFonts w:cs="Times New Roman"/>
                <w:szCs w:val="24"/>
              </w:rPr>
              <w:t>.</w:t>
            </w:r>
          </w:p>
          <w:p w14:paraId="12E89525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BCB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327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From internet-blocking to wholesale suspension/shut-down with the help of AI</w:t>
            </w:r>
          </w:p>
          <w:p w14:paraId="48C29B79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7E8" w14:textId="60E55557" w:rsidR="00E376BD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Internet Governance Forum Germany</w:t>
            </w:r>
            <w:r>
              <w:rPr>
                <w:rFonts w:cs="Times New Roman"/>
                <w:szCs w:val="24"/>
              </w:rPr>
              <w:t xml:space="preserve"> (Budapest)</w:t>
            </w:r>
          </w:p>
        </w:tc>
      </w:tr>
      <w:tr w:rsidR="00CD56DC" w:rsidRPr="00CD56DC" w14:paraId="5D200B1E" w14:textId="77777777" w:rsidTr="00E376BD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5FC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</w:t>
            </w:r>
            <w:r w:rsidR="00722123" w:rsidRPr="00CD56DC">
              <w:rPr>
                <w:rFonts w:cs="Times New Roman"/>
                <w:szCs w:val="24"/>
              </w:rPr>
              <w:t xml:space="preserve"> szeptember </w:t>
            </w:r>
            <w:r w:rsidRPr="00CD56DC">
              <w:rPr>
                <w:rFonts w:cs="Times New Roman"/>
                <w:szCs w:val="24"/>
              </w:rPr>
              <w:t>18</w:t>
            </w:r>
            <w:r w:rsidR="00722123" w:rsidRPr="00CD56DC">
              <w:rPr>
                <w:rFonts w:cs="Times New Roman"/>
                <w:szCs w:val="24"/>
              </w:rPr>
              <w:t>.</w:t>
            </w:r>
          </w:p>
          <w:p w14:paraId="000EC4F2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2DC9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8DC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How Freedom of Expression (FoE) is related to censorship and autonomy?</w:t>
            </w:r>
          </w:p>
          <w:p w14:paraId="3BBEBC87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395" w14:textId="1D38765C" w:rsidR="00E376BD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ELTE-</w:t>
            </w:r>
            <w:r w:rsidRPr="00560005">
              <w:rPr>
                <w:rFonts w:cs="Times New Roman"/>
                <w:szCs w:val="24"/>
              </w:rPr>
              <w:t xml:space="preserve"> </w:t>
            </w:r>
            <w:r w:rsidRPr="00560005">
              <w:rPr>
                <w:rFonts w:cs="Times New Roman"/>
                <w:szCs w:val="24"/>
              </w:rPr>
              <w:t>Legal Research Network</w:t>
            </w:r>
            <w:r>
              <w:rPr>
                <w:rFonts w:cs="Times New Roman"/>
                <w:szCs w:val="24"/>
              </w:rPr>
              <w:t xml:space="preserve"> (Budapest)</w:t>
            </w:r>
          </w:p>
        </w:tc>
      </w:tr>
      <w:tr w:rsidR="00CD56DC" w:rsidRPr="00CD56DC" w14:paraId="666E8460" w14:textId="77777777" w:rsidTr="00E376BD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C62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</w:t>
            </w:r>
            <w:r w:rsidR="00722123" w:rsidRPr="00CD56DC">
              <w:rPr>
                <w:rFonts w:cs="Times New Roman"/>
                <w:szCs w:val="24"/>
              </w:rPr>
              <w:t xml:space="preserve">. október </w:t>
            </w:r>
            <w:r w:rsidRPr="00CD56DC">
              <w:rPr>
                <w:rFonts w:cs="Times New Roman"/>
                <w:szCs w:val="24"/>
              </w:rPr>
              <w:t>9</w:t>
            </w:r>
            <w:r w:rsidR="00722123" w:rsidRPr="00CD56DC">
              <w:rPr>
                <w:rFonts w:cs="Times New Roman"/>
                <w:szCs w:val="24"/>
              </w:rPr>
              <w:t>.</w:t>
            </w:r>
          </w:p>
          <w:p w14:paraId="7F7FF74F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E7D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Gosztonyi Gergely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6F1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rendszerváltás a sajtómegjelenések tükrében</w:t>
            </w:r>
          </w:p>
          <w:p w14:paraId="360703D3" w14:textId="77777777" w:rsidR="00E376BD" w:rsidRPr="00CD56DC" w:rsidRDefault="00E376BD" w:rsidP="00CD56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8F1" w14:textId="0F6C1B6A" w:rsidR="00E376BD" w:rsidRPr="00CD56DC" w:rsidRDefault="00560005" w:rsidP="00CD56DC">
            <w:pPr>
              <w:jc w:val="center"/>
              <w:rPr>
                <w:rFonts w:cs="Times New Roman"/>
                <w:szCs w:val="24"/>
              </w:rPr>
            </w:pPr>
            <w:r w:rsidRPr="00560005">
              <w:rPr>
                <w:rFonts w:cs="Times New Roman"/>
                <w:szCs w:val="24"/>
              </w:rPr>
              <w:t>Eötvös Loránd Tudományegyetem Állam- és Jogtudományi Kar</w:t>
            </w:r>
            <w:r>
              <w:rPr>
                <w:rFonts w:cs="Times New Roman"/>
                <w:szCs w:val="24"/>
              </w:rPr>
              <w:t xml:space="preserve"> (Budapest)</w:t>
            </w:r>
          </w:p>
        </w:tc>
      </w:tr>
      <w:tr w:rsidR="00CD56DC" w:rsidRPr="00CD56DC" w14:paraId="46A05EC1" w14:textId="77777777" w:rsidTr="00DE4246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C32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 október 9.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11D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58E" w14:textId="77777777" w:rsidR="00DE4246" w:rsidRPr="00CD56DC" w:rsidRDefault="00DE4246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magyar állampolgárság szabályozása az elmúlt 30 évben, különös tekintettel a 2010. évi változásokra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158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rendszerváltás harminc éve (Budapest)</w:t>
            </w:r>
          </w:p>
        </w:tc>
      </w:tr>
      <w:tr w:rsidR="00CD56DC" w:rsidRPr="00CD56DC" w14:paraId="173E00B3" w14:textId="77777777" w:rsidTr="00DE4246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E64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lastRenderedPageBreak/>
              <w:t>2019. október 16.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CF7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0C5" w14:textId="77777777" w:rsidR="00DE4246" w:rsidRPr="00CD56DC" w:rsidRDefault="00DE4246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Szuverenitáskérdések az Országbírói értekezlet ülésein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285" w14:textId="77777777" w:rsidR="00DE4246" w:rsidRPr="00CD56DC" w:rsidRDefault="00DE4246" w:rsidP="00CD56DC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bCs/>
                <w:szCs w:val="24"/>
                <w:lang w:val="en-GB" w:eastAsia="ar-SA"/>
              </w:rPr>
              <w:t>Az MTA-ELTE Jogtörténeti Kutatócsoport második munkaértekezlete (Budapest)</w:t>
            </w:r>
          </w:p>
        </w:tc>
      </w:tr>
      <w:tr w:rsidR="00CD56DC" w:rsidRPr="00CD56DC" w14:paraId="28886A2A" w14:textId="77777777" w:rsidTr="00DE4246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856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 november 13-15.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F5C1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D724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horvát-magyar kiegyezés a korabeli szlovák sajtó szemszögéből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461" w14:textId="77777777" w:rsidR="00DE4246" w:rsidRPr="00CD56DC" w:rsidRDefault="00DE4246" w:rsidP="00CD56DC">
            <w:pPr>
              <w:spacing w:line="256" w:lineRule="auto"/>
              <w:jc w:val="center"/>
              <w:rPr>
                <w:rFonts w:cs="Times New Roman"/>
                <w:bCs/>
                <w:szCs w:val="24"/>
                <w:lang w:eastAsia="ar-SA"/>
              </w:rPr>
            </w:pPr>
            <w:r w:rsidRPr="00CD56DC">
              <w:rPr>
                <w:rFonts w:cs="Times New Roman"/>
                <w:bCs/>
                <w:szCs w:val="24"/>
                <w:lang w:eastAsia="ar-SA"/>
              </w:rPr>
              <w:t>IX. Szegedi Jogtörténeti Napok</w:t>
            </w:r>
          </w:p>
          <w:p w14:paraId="11453ED7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(Szeged)</w:t>
            </w:r>
          </w:p>
        </w:tc>
      </w:tr>
      <w:tr w:rsidR="00DE4246" w:rsidRPr="00CD56DC" w14:paraId="1FD0A836" w14:textId="77777777" w:rsidTr="00DE4246">
        <w:trPr>
          <w:jc w:val="right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F9B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2019. november 20.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C8AF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Képessy Imre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771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szCs w:val="24"/>
              </w:rPr>
              <w:t>A nyelvi jogok szerepe a 19. századi szlovák autonómiatörekvésekben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B2D1" w14:textId="77777777" w:rsidR="00DE4246" w:rsidRPr="00CD56DC" w:rsidRDefault="00DE4246" w:rsidP="00CD56DC">
            <w:pPr>
              <w:jc w:val="center"/>
              <w:rPr>
                <w:rFonts w:cs="Times New Roman"/>
                <w:szCs w:val="24"/>
              </w:rPr>
            </w:pPr>
            <w:r w:rsidRPr="00CD56DC">
              <w:rPr>
                <w:rFonts w:cs="Times New Roman"/>
                <w:bCs/>
                <w:szCs w:val="24"/>
                <w:lang w:eastAsia="ar-SA"/>
              </w:rPr>
              <w:t>Nemzetiségi-nyelvi szuverenitási törekvések a dualizmus korszakában</w:t>
            </w:r>
            <w:r w:rsidRPr="00CD56DC">
              <w:rPr>
                <w:rFonts w:cs="Times New Roman"/>
                <w:bCs/>
                <w:szCs w:val="24"/>
                <w:lang w:val="en-GB" w:eastAsia="ar-SA"/>
              </w:rPr>
              <w:t>. Tudományos Konferencia az MTA-ELTE Jogtörténeti Kutatócsoport szervezésében (Budapest)</w:t>
            </w:r>
          </w:p>
        </w:tc>
      </w:tr>
    </w:tbl>
    <w:p w14:paraId="22D1E082" w14:textId="77777777" w:rsidR="00E376BD" w:rsidRPr="00CD56DC" w:rsidRDefault="00E376BD" w:rsidP="00CD56DC">
      <w:pPr>
        <w:jc w:val="center"/>
        <w:rPr>
          <w:rFonts w:cs="Times New Roman"/>
          <w:szCs w:val="24"/>
        </w:rPr>
      </w:pPr>
    </w:p>
    <w:p w14:paraId="689EB13E" w14:textId="77777777" w:rsidR="00395BCC" w:rsidRPr="00CD56DC" w:rsidRDefault="00395BCC" w:rsidP="00CD56DC">
      <w:pPr>
        <w:jc w:val="center"/>
        <w:rPr>
          <w:rFonts w:cs="Times New Roman"/>
          <w:szCs w:val="24"/>
        </w:rPr>
      </w:pPr>
    </w:p>
    <w:sectPr w:rsidR="00395BCC" w:rsidRPr="00CD56DC" w:rsidSect="003A3AA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450A" w14:textId="77777777" w:rsidR="00C95EF1" w:rsidRDefault="00C95EF1" w:rsidP="001A4522">
      <w:r>
        <w:separator/>
      </w:r>
    </w:p>
  </w:endnote>
  <w:endnote w:type="continuationSeparator" w:id="0">
    <w:p w14:paraId="01CD80F5" w14:textId="77777777" w:rsidR="00C95EF1" w:rsidRDefault="00C95EF1" w:rsidP="001A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Zhongsong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359172"/>
      <w:docPartObj>
        <w:docPartGallery w:val="Page Numbers (Bottom of Page)"/>
        <w:docPartUnique/>
      </w:docPartObj>
    </w:sdtPr>
    <w:sdtEndPr/>
    <w:sdtContent>
      <w:p w14:paraId="60C7AFC4" w14:textId="77777777" w:rsidR="001A4522" w:rsidRDefault="001A45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3E">
          <w:rPr>
            <w:noProof/>
          </w:rPr>
          <w:t>2</w:t>
        </w:r>
        <w:r>
          <w:fldChar w:fldCharType="end"/>
        </w:r>
      </w:p>
    </w:sdtContent>
  </w:sdt>
  <w:p w14:paraId="67AEEECF" w14:textId="77777777" w:rsidR="001A4522" w:rsidRDefault="001A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C3EE" w14:textId="77777777" w:rsidR="00C95EF1" w:rsidRDefault="00C95EF1" w:rsidP="001A4522">
      <w:r>
        <w:separator/>
      </w:r>
    </w:p>
  </w:footnote>
  <w:footnote w:type="continuationSeparator" w:id="0">
    <w:p w14:paraId="3F334CB7" w14:textId="77777777" w:rsidR="00C95EF1" w:rsidRDefault="00C95EF1" w:rsidP="001A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93283"/>
    <w:multiLevelType w:val="hybridMultilevel"/>
    <w:tmpl w:val="EE2CAC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77E"/>
    <w:multiLevelType w:val="hybridMultilevel"/>
    <w:tmpl w:val="03AA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767"/>
    <w:multiLevelType w:val="hybridMultilevel"/>
    <w:tmpl w:val="E44854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51B1"/>
    <w:multiLevelType w:val="hybridMultilevel"/>
    <w:tmpl w:val="5D9CA3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1BE"/>
    <w:multiLevelType w:val="hybridMultilevel"/>
    <w:tmpl w:val="D7D22B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449"/>
    <w:multiLevelType w:val="multilevel"/>
    <w:tmpl w:val="67243C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1FC1200"/>
    <w:multiLevelType w:val="hybridMultilevel"/>
    <w:tmpl w:val="91E8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12"/>
    <w:rsid w:val="00016B9E"/>
    <w:rsid w:val="00017149"/>
    <w:rsid w:val="00025E60"/>
    <w:rsid w:val="0003297F"/>
    <w:rsid w:val="00053114"/>
    <w:rsid w:val="000624A0"/>
    <w:rsid w:val="00063C79"/>
    <w:rsid w:val="00066A21"/>
    <w:rsid w:val="000671F3"/>
    <w:rsid w:val="000805DF"/>
    <w:rsid w:val="0008678E"/>
    <w:rsid w:val="00096D95"/>
    <w:rsid w:val="000A5CE5"/>
    <w:rsid w:val="000C24B9"/>
    <w:rsid w:val="000E23FB"/>
    <w:rsid w:val="0010334D"/>
    <w:rsid w:val="00104FF7"/>
    <w:rsid w:val="001139FB"/>
    <w:rsid w:val="00140191"/>
    <w:rsid w:val="001410CE"/>
    <w:rsid w:val="00142200"/>
    <w:rsid w:val="00145384"/>
    <w:rsid w:val="00157A53"/>
    <w:rsid w:val="00193586"/>
    <w:rsid w:val="00194F98"/>
    <w:rsid w:val="001A4522"/>
    <w:rsid w:val="001A6ED8"/>
    <w:rsid w:val="001B2CC0"/>
    <w:rsid w:val="001B78A0"/>
    <w:rsid w:val="001C47A6"/>
    <w:rsid w:val="001D3EA5"/>
    <w:rsid w:val="001D5F0D"/>
    <w:rsid w:val="001D70BF"/>
    <w:rsid w:val="001E0BC3"/>
    <w:rsid w:val="001F0343"/>
    <w:rsid w:val="001F1BB0"/>
    <w:rsid w:val="001F68C9"/>
    <w:rsid w:val="001F7E99"/>
    <w:rsid w:val="00214FD9"/>
    <w:rsid w:val="0021529C"/>
    <w:rsid w:val="002462AD"/>
    <w:rsid w:val="00267142"/>
    <w:rsid w:val="00272F7D"/>
    <w:rsid w:val="002739CA"/>
    <w:rsid w:val="00294D67"/>
    <w:rsid w:val="002A06A1"/>
    <w:rsid w:val="002B4720"/>
    <w:rsid w:val="002C1722"/>
    <w:rsid w:val="002E5A96"/>
    <w:rsid w:val="002E7B1D"/>
    <w:rsid w:val="003220AC"/>
    <w:rsid w:val="003231A2"/>
    <w:rsid w:val="003447B4"/>
    <w:rsid w:val="003459AC"/>
    <w:rsid w:val="0035012F"/>
    <w:rsid w:val="00350E7B"/>
    <w:rsid w:val="00375C54"/>
    <w:rsid w:val="003775CC"/>
    <w:rsid w:val="003845E3"/>
    <w:rsid w:val="00395BCC"/>
    <w:rsid w:val="003A3AA7"/>
    <w:rsid w:val="003D5B85"/>
    <w:rsid w:val="003D687B"/>
    <w:rsid w:val="003E116D"/>
    <w:rsid w:val="003E16B1"/>
    <w:rsid w:val="003E2B36"/>
    <w:rsid w:val="003E4452"/>
    <w:rsid w:val="004057F5"/>
    <w:rsid w:val="0041485B"/>
    <w:rsid w:val="00426C20"/>
    <w:rsid w:val="0042793C"/>
    <w:rsid w:val="00444D80"/>
    <w:rsid w:val="00462524"/>
    <w:rsid w:val="004804BD"/>
    <w:rsid w:val="00485ED0"/>
    <w:rsid w:val="00493C99"/>
    <w:rsid w:val="00495CC3"/>
    <w:rsid w:val="004B056F"/>
    <w:rsid w:val="004C0201"/>
    <w:rsid w:val="004C6A7B"/>
    <w:rsid w:val="004D3759"/>
    <w:rsid w:val="004D3C12"/>
    <w:rsid w:val="004E5CB5"/>
    <w:rsid w:val="004E5CC4"/>
    <w:rsid w:val="004F7AA1"/>
    <w:rsid w:val="00516FE9"/>
    <w:rsid w:val="00524708"/>
    <w:rsid w:val="00527CAC"/>
    <w:rsid w:val="00531098"/>
    <w:rsid w:val="00544A28"/>
    <w:rsid w:val="005470F3"/>
    <w:rsid w:val="005511FB"/>
    <w:rsid w:val="00560005"/>
    <w:rsid w:val="005765A1"/>
    <w:rsid w:val="0057663E"/>
    <w:rsid w:val="00580723"/>
    <w:rsid w:val="00591270"/>
    <w:rsid w:val="005D42A7"/>
    <w:rsid w:val="005F563D"/>
    <w:rsid w:val="00607BE9"/>
    <w:rsid w:val="00620A27"/>
    <w:rsid w:val="00630739"/>
    <w:rsid w:val="006463C4"/>
    <w:rsid w:val="00652F22"/>
    <w:rsid w:val="00654049"/>
    <w:rsid w:val="006650BB"/>
    <w:rsid w:val="00671114"/>
    <w:rsid w:val="00673243"/>
    <w:rsid w:val="006C3411"/>
    <w:rsid w:val="006E7A27"/>
    <w:rsid w:val="00705837"/>
    <w:rsid w:val="00722123"/>
    <w:rsid w:val="00747EC1"/>
    <w:rsid w:val="00747EFB"/>
    <w:rsid w:val="00751F50"/>
    <w:rsid w:val="00760DC1"/>
    <w:rsid w:val="00767A83"/>
    <w:rsid w:val="00770288"/>
    <w:rsid w:val="0078524A"/>
    <w:rsid w:val="00787FF4"/>
    <w:rsid w:val="007B2E7C"/>
    <w:rsid w:val="007C5CA5"/>
    <w:rsid w:val="007F430E"/>
    <w:rsid w:val="00810F7F"/>
    <w:rsid w:val="00843430"/>
    <w:rsid w:val="0085173A"/>
    <w:rsid w:val="00880F1D"/>
    <w:rsid w:val="00881BC6"/>
    <w:rsid w:val="00891469"/>
    <w:rsid w:val="0089438E"/>
    <w:rsid w:val="008A1A5C"/>
    <w:rsid w:val="008B3632"/>
    <w:rsid w:val="008F6F7B"/>
    <w:rsid w:val="009128C4"/>
    <w:rsid w:val="00933724"/>
    <w:rsid w:val="009979CC"/>
    <w:rsid w:val="009E36A2"/>
    <w:rsid w:val="00A22F11"/>
    <w:rsid w:val="00A312BC"/>
    <w:rsid w:val="00A37AA8"/>
    <w:rsid w:val="00A51469"/>
    <w:rsid w:val="00A548B8"/>
    <w:rsid w:val="00A65EDD"/>
    <w:rsid w:val="00A67585"/>
    <w:rsid w:val="00A71720"/>
    <w:rsid w:val="00A77F06"/>
    <w:rsid w:val="00A85D90"/>
    <w:rsid w:val="00A92D1F"/>
    <w:rsid w:val="00A949D7"/>
    <w:rsid w:val="00AB34CE"/>
    <w:rsid w:val="00AB4D15"/>
    <w:rsid w:val="00AC51EE"/>
    <w:rsid w:val="00AC69DD"/>
    <w:rsid w:val="00AD6CAB"/>
    <w:rsid w:val="00B24BCB"/>
    <w:rsid w:val="00B43A32"/>
    <w:rsid w:val="00B4539E"/>
    <w:rsid w:val="00B56E66"/>
    <w:rsid w:val="00B86487"/>
    <w:rsid w:val="00B92A6A"/>
    <w:rsid w:val="00BA1D8A"/>
    <w:rsid w:val="00BA31CB"/>
    <w:rsid w:val="00BA42CF"/>
    <w:rsid w:val="00BA74E9"/>
    <w:rsid w:val="00BB271B"/>
    <w:rsid w:val="00BD1079"/>
    <w:rsid w:val="00BD1AAC"/>
    <w:rsid w:val="00BE7C0D"/>
    <w:rsid w:val="00BF219F"/>
    <w:rsid w:val="00C11031"/>
    <w:rsid w:val="00C14790"/>
    <w:rsid w:val="00C200EA"/>
    <w:rsid w:val="00C23E06"/>
    <w:rsid w:val="00C279FE"/>
    <w:rsid w:val="00C27C12"/>
    <w:rsid w:val="00C458C0"/>
    <w:rsid w:val="00C5052A"/>
    <w:rsid w:val="00C5448C"/>
    <w:rsid w:val="00C608CD"/>
    <w:rsid w:val="00C828B7"/>
    <w:rsid w:val="00C87B61"/>
    <w:rsid w:val="00C87E51"/>
    <w:rsid w:val="00C95EF1"/>
    <w:rsid w:val="00CA7CB3"/>
    <w:rsid w:val="00CA7E06"/>
    <w:rsid w:val="00CD3986"/>
    <w:rsid w:val="00CD56DC"/>
    <w:rsid w:val="00D35DF7"/>
    <w:rsid w:val="00D47B02"/>
    <w:rsid w:val="00D5594D"/>
    <w:rsid w:val="00D579FA"/>
    <w:rsid w:val="00D61A0A"/>
    <w:rsid w:val="00D702F3"/>
    <w:rsid w:val="00D865A7"/>
    <w:rsid w:val="00D93A68"/>
    <w:rsid w:val="00DB1697"/>
    <w:rsid w:val="00DC189B"/>
    <w:rsid w:val="00DE4246"/>
    <w:rsid w:val="00DE6644"/>
    <w:rsid w:val="00DF745F"/>
    <w:rsid w:val="00E27D40"/>
    <w:rsid w:val="00E376BD"/>
    <w:rsid w:val="00E52545"/>
    <w:rsid w:val="00E56015"/>
    <w:rsid w:val="00E57C2C"/>
    <w:rsid w:val="00E6041F"/>
    <w:rsid w:val="00E704BE"/>
    <w:rsid w:val="00E72CB4"/>
    <w:rsid w:val="00E73503"/>
    <w:rsid w:val="00E82A34"/>
    <w:rsid w:val="00E95332"/>
    <w:rsid w:val="00EA7481"/>
    <w:rsid w:val="00EB1863"/>
    <w:rsid w:val="00EB5011"/>
    <w:rsid w:val="00EC6AC1"/>
    <w:rsid w:val="00ED131A"/>
    <w:rsid w:val="00ED25EF"/>
    <w:rsid w:val="00ED5040"/>
    <w:rsid w:val="00EE3D1D"/>
    <w:rsid w:val="00EE65AA"/>
    <w:rsid w:val="00EF6C3C"/>
    <w:rsid w:val="00F13B1B"/>
    <w:rsid w:val="00F175B7"/>
    <w:rsid w:val="00F204C0"/>
    <w:rsid w:val="00F348EF"/>
    <w:rsid w:val="00F54413"/>
    <w:rsid w:val="00F60BC1"/>
    <w:rsid w:val="00F62799"/>
    <w:rsid w:val="00F725C5"/>
    <w:rsid w:val="00FA5CA8"/>
    <w:rsid w:val="00FC7D99"/>
    <w:rsid w:val="00FD2472"/>
    <w:rsid w:val="00FD3142"/>
    <w:rsid w:val="00FE5798"/>
    <w:rsid w:val="00FF0EEA"/>
    <w:rsid w:val="00FF11F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7ABE5"/>
  <w15:chartTrackingRefBased/>
  <w15:docId w15:val="{30372118-3C3F-4411-88E7-7459F4A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3C12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4D3C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4D3C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12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PlainText">
    <w:name w:val="Plain Text"/>
    <w:basedOn w:val="Normal"/>
    <w:link w:val="PlainTextChar"/>
    <w:uiPriority w:val="99"/>
    <w:unhideWhenUsed/>
    <w:rsid w:val="00E52545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545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54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al"/>
    <w:rsid w:val="00BA42C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BA42CF"/>
  </w:style>
  <w:style w:type="character" w:customStyle="1" w:styleId="norm00e1l0020t00e1bl00e1zatchar">
    <w:name w:val="norm_00e1l_0020t_00e1bl_00e1zat__char"/>
    <w:basedOn w:val="DefaultParagraphFont"/>
    <w:rsid w:val="00BA42CF"/>
  </w:style>
  <w:style w:type="character" w:customStyle="1" w:styleId="norm00e1lchar">
    <w:name w:val="norm_00e1l__char"/>
    <w:basedOn w:val="DefaultParagraphFont"/>
    <w:rsid w:val="00BA42CF"/>
  </w:style>
  <w:style w:type="paragraph" w:customStyle="1" w:styleId="MarginText">
    <w:name w:val="Margin Text"/>
    <w:basedOn w:val="Normal"/>
    <w:rsid w:val="00760DC1"/>
    <w:pPr>
      <w:adjustRightInd w:val="0"/>
      <w:spacing w:after="240" w:line="360" w:lineRule="auto"/>
      <w:jc w:val="both"/>
    </w:pPr>
    <w:rPr>
      <w:rFonts w:eastAsia="STZhongsong" w:cs="Times New Roman"/>
      <w:kern w:val="28"/>
      <w:sz w:val="22"/>
      <w:szCs w:val="20"/>
      <w:lang w:val="en-GB" w:eastAsia="zh-CN"/>
    </w:rPr>
  </w:style>
  <w:style w:type="paragraph" w:customStyle="1" w:styleId="default">
    <w:name w:val="default"/>
    <w:basedOn w:val="Normal"/>
    <w:rsid w:val="001C47A6"/>
    <w:pPr>
      <w:autoSpaceDE w:val="0"/>
      <w:autoSpaceDN w:val="0"/>
    </w:pPr>
    <w:rPr>
      <w:rFonts w:cs="Times New Roman"/>
      <w:color w:val="000000"/>
      <w:szCs w:val="24"/>
      <w:lang w:eastAsia="hu-HU"/>
    </w:rPr>
  </w:style>
  <w:style w:type="paragraph" w:customStyle="1" w:styleId="Default0">
    <w:name w:val="Default"/>
    <w:rsid w:val="00B24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BCB"/>
    <w:rPr>
      <w:i/>
      <w:iCs/>
    </w:rPr>
  </w:style>
  <w:style w:type="character" w:styleId="Strong">
    <w:name w:val="Strong"/>
    <w:basedOn w:val="DefaultParagraphFont"/>
    <w:uiPriority w:val="22"/>
    <w:qFormat/>
    <w:rsid w:val="00B24BCB"/>
    <w:rPr>
      <w:b/>
      <w:bCs/>
    </w:rPr>
  </w:style>
  <w:style w:type="character" w:customStyle="1" w:styleId="textexposedshow">
    <w:name w:val="text_exposed_show"/>
    <w:rsid w:val="00933724"/>
  </w:style>
  <w:style w:type="paragraph" w:styleId="Header">
    <w:name w:val="header"/>
    <w:basedOn w:val="Normal"/>
    <w:link w:val="HeaderChar"/>
    <w:uiPriority w:val="99"/>
    <w:unhideWhenUsed/>
    <w:rsid w:val="001A4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4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AE76-1B25-48AA-A828-E44B961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Bérci Ildikó</dc:creator>
  <cp:keywords/>
  <dc:description/>
  <cp:lastModifiedBy>Dr. Gosztonyi Gergely</cp:lastModifiedBy>
  <cp:revision>13</cp:revision>
  <dcterms:created xsi:type="dcterms:W3CDTF">2020-04-22T09:03:00Z</dcterms:created>
  <dcterms:modified xsi:type="dcterms:W3CDTF">2021-02-18T10:30:00Z</dcterms:modified>
</cp:coreProperties>
</file>